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contextualSpacing w:val="0"/>
        <w:jc w:val="left"/>
        <w:spacing w:before="200" w:after="198" w:line="276" w:lineRule="auto"/>
        <w:rPr>
          <w:b/>
        </w:rPr>
        <w:suppressLineNumbers w:val="0"/>
      </w:pPr>
      <w:r>
        <w:rPr>
          <w:b/>
        </w:rPr>
      </w:r>
      <w:r>
        <w:rPr>
          <w:b/>
        </w:rPr>
        <w:t xml:space="preserve">Hochschule </w:t>
      </w:r>
      <w:r>
        <w:rPr>
          <w:b/>
        </w:rPr>
        <w:t xml:space="preserve">#10 </w:t>
      </w:r>
      <w:r>
        <w:rPr>
          <w:b/>
        </w:rPr>
        <w:t xml:space="preserve">Barrierefreiheit in der digitalen Lehre, Teil 2: Funktionen auf TUbe, Webex und im TeachCenter</w:t>
      </w:r>
      <w:r>
        <w:rPr>
          <w:b/>
        </w:rPr>
      </w:r>
    </w:p>
    <w:tbl>
      <w:tblPr>
        <w:tblStyle w:val="713"/>
        <w:tblW w:w="0" w:type="auto"/>
        <w:tblLook w:val="0480" w:firstRow="0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  <w:highlight w:val="none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Autor:innen</w:t>
            </w:r>
            <w:r>
              <w:rPr>
                <w:b/>
                <w:color w:val="000000"/>
                <w:spacing w:val="0"/>
                <w:sz w:val="24"/>
                <w:highlight w:val="none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suppressLineNumbers w:val="0"/>
            </w:pPr>
            <w:r>
              <w:rPr>
                <w:b w:val="0"/>
                <w:spacing w:val="0"/>
                <w:sz w:val="24"/>
              </w:rPr>
              <w:t xml:space="preserve">TU Graz Lehr- und Lerntechnologien</w:t>
            </w:r>
            <w:r/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Veröffentlichung</w:t>
            </w:r>
            <w:r>
              <w:rPr>
                <w:b/>
                <w:sz w:val="24"/>
              </w:rPr>
            </w:r>
            <w:r>
              <w:rPr>
                <w:b/>
                <w:color w:val="000000"/>
                <w:spacing w:val="0"/>
                <w:sz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 w:val="0"/>
                <w:spacing w:val="0"/>
                <w:sz w:val="24"/>
              </w:rPr>
              <w:suppressLineNumbers w:val="0"/>
            </w:pPr>
            <w:r>
              <w:rPr>
                <w:b w:val="0"/>
                <w:spacing w:val="0"/>
                <w:sz w:val="24"/>
              </w:rPr>
              <w:t xml:space="preserve">Oktober 2023</w:t>
            </w:r>
            <w:r>
              <w:rPr>
                <w:b w:val="0"/>
                <w:spacing w:val="0"/>
                <w:sz w:val="24"/>
              </w:rPr>
            </w:r>
          </w:p>
        </w:tc>
      </w:tr>
      <w:tr>
        <w:trPr/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jc w:val="left"/>
              <w:spacing w:before="200" w:after="198" w:line="276" w:lineRule="auto"/>
              <w:rPr>
                <w:b/>
                <w:color w:val="000000"/>
                <w:spacing w:val="0"/>
                <w:sz w:val="24"/>
              </w:rPr>
              <w:suppressLineNumbers w:val="0"/>
            </w:pPr>
            <w:r>
              <w:rPr>
                <w:b/>
                <w:color w:val="000000" w:themeColor="text1"/>
                <w:spacing w:val="0"/>
                <w:sz w:val="24"/>
              </w:rPr>
              <w:t xml:space="preserve">Lizenz</w:t>
            </w:r>
            <w:r>
              <w:rPr>
                <w:b/>
                <w:sz w:val="24"/>
              </w:rPr>
            </w:r>
            <w:r>
              <w:rPr>
                <w:b/>
                <w:color w:val="000000"/>
                <w:spacing w:val="0"/>
                <w:sz w:val="24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spacing w:before="200" w:after="198" w:line="276" w:lineRule="auto"/>
              <w:rPr>
                <w:b w:val="0"/>
                <w:spacing w:val="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b w:val="0"/>
                <w:spacing w:val="0"/>
                <w:sz w:val="24"/>
              </w:rPr>
            </w:r>
            <w:r>
              <w:rPr>
                <w:sz w:val="24"/>
              </w:rPr>
              <w:t xml:space="preserve">Lizenziert unter der </w:t>
            </w:r>
            <w:r>
              <w:rPr>
                <w:sz w:val="24"/>
              </w:rPr>
            </w:r>
            <w:hyperlink r:id="rId9" w:tooltip="CC BY 4.0 International" w:history="1">
              <w:r>
                <w:rPr>
                  <w:rStyle w:val="837"/>
                  <w:sz w:val="24"/>
                </w:rPr>
                <w:t xml:space="preserve">Creative-Commons-Lizenz CC BY 4.0 International</w:t>
              </w:r>
            </w:hyperlink>
            <w:r>
              <w:rPr>
                <w:sz w:val="24"/>
              </w:rPr>
              <w:t xml:space="preserve">.</w:t>
            </w:r>
            <w:r>
              <w:rPr>
                <w:b w:val="0"/>
                <w:spacing w:val="0"/>
                <w:sz w:val="24"/>
              </w:rPr>
            </w:r>
            <w:r>
              <w:rPr>
                <w:b w:val="0"/>
                <w:spacing w:val="0"/>
                <w:sz w:val="24"/>
              </w:rPr>
            </w:r>
          </w:p>
        </w:tc>
      </w:tr>
    </w:tbl>
    <w:p>
      <w:pPr>
        <w:contextualSpacing w:val="0"/>
        <w:ind w:left="0" w:right="0" w:firstLine="0"/>
        <w:jc w:val="left"/>
        <w:spacing w:before="200" w:after="198" w:line="276" w:lineRule="auto"/>
        <w:shd w:val="clear" w:color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t xml:space="preserve">Da es uns ein Anliegen ist, barrierearme Lehre zu ermöglichen, werden im TeachCenter </w:t>
      </w:r>
      <w:r/>
      <w:r>
        <w:t xml:space="preserve">und auf TUbe immer wieder neue Funktionen ergänzt, die Lehr- und Lerninhalte </w:t>
      </w:r>
      <w:r/>
      <w:r/>
      <w:r>
        <w:t xml:space="preserve">zugänglicher machen sollen. Auch andere an der TU Graz unterstützte Programme wie </w:t>
      </w:r>
      <w:r/>
      <w:r/>
      <w:r>
        <w:t xml:space="preserve">z. B. Webex bieten laufend neue Funktionen für mehr Barrierefreiheit. Einige Neuerungen </w:t>
      </w:r>
      <w:r/>
      <w:r/>
      <w:r>
        <w:t xml:space="preserve">im Bereich Barrierefreiheit möchten wir Ihnen in diesem Beitrag vorstellen:</w:t>
      </w:r>
      <w:r/>
      <w:r/>
      <w:r/>
    </w:p>
    <w:p>
      <w:pPr>
        <w:pStyle w:val="681"/>
        <w:contextualSpacing w:val="0"/>
        <w:jc w:val="left"/>
        <w:spacing w:before="200" w:after="198" w:line="276" w:lineRule="auto"/>
        <w:rPr>
          <w:rFonts w:ascii="Arial" w:hAnsi="Arial" w:eastAsia="Arial" w:cs="Arial"/>
          <w:b/>
          <w:sz w:val="34"/>
        </w:rPr>
        <w:suppressLineNumbers w:val="0"/>
      </w:pPr>
      <w:r>
        <w:rPr>
          <w:rFonts w:ascii="Arial" w:hAnsi="Arial" w:eastAsia="Arial" w:cs="Arial"/>
          <w:b/>
          <w:color w:val="000000"/>
          <w:sz w:val="34"/>
        </w:rPr>
        <w:t xml:space="preserve">Was ist neu?</w:t>
      </w:r>
      <w:r>
        <w:rPr>
          <w:rFonts w:ascii="Arial" w:hAnsi="Arial" w:eastAsia="Arial" w:cs="Arial"/>
          <w:b/>
          <w:sz w:val="34"/>
        </w:rPr>
      </w:r>
    </w:p>
    <w:p>
      <w:r>
        <w:t xml:space="preserve">Untertitel auf TUbe sowie Webex, </w:t>
      </w:r>
      <w:r/>
      <w:r>
        <w:t xml:space="preserve">ein barrierearmes TeachCenter-Design und </w:t>
      </w:r>
      <w:r/>
      <w:r/>
      <w:r>
        <w:t xml:space="preserve">das sogenannte Accessibility Toolkit, eine neue </w:t>
      </w:r>
      <w:r/>
      <w:r/>
      <w:r>
        <w:t xml:space="preserve">Funktion für Barrierefreiheit im TeachCenter</w:t>
      </w:r>
      <w:r/>
      <w:r/>
      <w:r>
        <w:t xml:space="preserve">.</w:t>
      </w:r>
      <w:r/>
    </w:p>
    <w:p>
      <w:pPr>
        <w:pStyle w:val="681"/>
        <w:rPr>
          <w:b/>
          <w:bCs/>
        </w:rPr>
      </w:pPr>
      <w:r>
        <w:rPr>
          <w:b/>
          <w:bCs/>
        </w:rPr>
        <w:t xml:space="preserve">Untertitel auf TUbe</w:t>
      </w:r>
      <w:r>
        <w:rPr>
          <w:b/>
          <w:bCs/>
        </w:rPr>
      </w:r>
    </w:p>
    <w:p>
      <w:pPr>
        <w:rPr>
          <w14:ligatures w14:val="none"/>
        </w:rPr>
      </w:pPr>
      <w:r>
        <w:t xml:space="preserve">Seit März 2023 werden bei allen Lehrveranstaltungen, die in Räumen der TU Graz </w:t>
      </w:r>
      <w:r>
        <w:t xml:space="preserve">(auch TUbe-Räume genannt) aufgezeichnet werden, automatisch generierte Untertitel </w:t>
      </w:r>
      <w:r>
        <w:t xml:space="preserve">zur Aufzeichnung hinzugefügt. Die Untertitel werden mit der KI-basierten </w:t>
      </w:r>
      <w:r>
        <w:t xml:space="preserve">Software Whisper erstellt.</w:t>
      </w:r>
      <w:r/>
      <w:r/>
    </w:p>
    <w:p>
      <w:pPr>
        <w:rPr>
          <w:highlight w:val="none"/>
          <w14:ligatures w14:val="none"/>
        </w:rPr>
      </w:pPr>
      <w:r>
        <w:t xml:space="preserve">Die Untertitel können von Studierenden im TUbe-Player jederzeit aktiviert werden.</w:t>
      </w:r>
      <w:r/>
    </w:p>
    <w:p>
      <w:pPr>
        <w:rPr>
          <w:highlight w:val="none"/>
        </w:rPr>
      </w:pPr>
      <w:r>
        <w:rPr>
          <w:highlight w:val="none"/>
        </w:rPr>
        <w:t xml:space="preserve">Im Rahmen des Projekts </w:t>
      </w:r>
      <w:hyperlink r:id="rId10" w:tooltip="Infos zu GESTU auf TU-Website" w:history="1">
        <w:r>
          <w:rPr>
            <w:rStyle w:val="837"/>
            <w:highlight w:val="none"/>
          </w:rPr>
          <w:t xml:space="preserve">GESTU </w:t>
        </w:r>
      </w:hyperlink>
      <w:r>
        <w:rPr>
          <w:highlight w:val="none"/>
        </w:rPr>
        <w:t xml:space="preserve">(Gehörlos und schwerhörig erfolgreich </w:t>
      </w:r>
      <w:r>
        <w:rPr>
          <w:highlight w:val="none"/>
        </w:rPr>
        <w:t xml:space="preserve">studieren) werden auf Anfrage weitere Videos von Lehrveranstaltungen </w:t>
      </w:r>
      <w:r>
        <w:rPr>
          <w:highlight w:val="none"/>
        </w:rPr>
        <w:t xml:space="preserve">untertitelt, die von gehörlosen und schwerhörigen Studierenden </w:t>
      </w:r>
      <w:r>
        <w:rPr>
          <w:highlight w:val="none"/>
        </w:rPr>
        <w:t xml:space="preserve">besucht werden. Dabei werden sowohl neu aufgezeichnete als auch </w:t>
      </w:r>
      <w:r>
        <w:rPr>
          <w:highlight w:val="none"/>
        </w:rPr>
        <w:t xml:space="preserve">bestehende Videos mit Untertiteln versehen.</w:t>
      </w:r>
      <w:r/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Untertitel sind vor allem für gehörlose und schwerhörige Studierende nützlich, </w:t>
      </w:r>
      <w:r/>
      <w:r>
        <w:rPr>
          <w:highlight w:val="none"/>
        </w:rPr>
        <w:t xml:space="preserve">können aber auch für alle anderen Studierenden von Vorteil sein, wenn diese z. B. </w:t>
      </w:r>
      <w:r/>
      <w:r>
        <w:rPr>
          <w:highlight w:val="none"/>
        </w:rPr>
      </w:r>
      <w:r>
        <w:rPr>
          <w:highlight w:val="none"/>
        </w:rPr>
        <w:t xml:space="preserve">Lehrveranstaltungsvideos nachsehen möchten, aber keine Möglichkeit haben, die </w:t>
      </w:r>
      <w:r/>
      <w:r>
        <w:rPr>
          <w:highlight w:val="none"/>
        </w:rPr>
      </w:r>
      <w:r>
        <w:rPr>
          <w:highlight w:val="none"/>
        </w:rPr>
        <w:t xml:space="preserve">Videos mit Ton zu sehen.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Wenn Sie TUbe-Videos Ihrer Lehrveranstaltung, die nicht im Hörsaal aufgezeichnet </w:t>
      </w:r>
      <w:r>
        <w:rPr>
          <w:highlight w:val="none"/>
        </w:rPr>
        <w:t xml:space="preserve">wurden, untertitelt haben möchten, ist das aktuell auf Anfrage an </w:t>
      </w:r>
      <w:r>
        <w:rPr>
          <w:highlight w:val="none"/>
        </w:rPr>
      </w:r>
      <w:hyperlink r:id="rId11" w:tooltip="mailto:tube@tugraz.at" w:history="1">
        <w:r>
          <w:rPr>
            <w:rStyle w:val="837"/>
            <w:highlight w:val="none"/>
          </w:rPr>
          <w:t xml:space="preserve">tube@tugraz.at </w:t>
        </w:r>
      </w:hyperlink>
      <w:r>
        <w:rPr>
          <w:highlight w:val="none"/>
        </w:rPr>
        <w:t xml:space="preserve">möglich. Auch kann an diese Adresse gerne Feedback zu den </w:t>
      </w:r>
      <w:r>
        <w:rPr>
          <w:highlight w:val="none"/>
        </w:rPr>
        <w:t xml:space="preserve">Untertiteln gegeben werden.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316166"/>
                <wp:effectExtent l="0" t="0" r="0" b="0"/>
                <wp:docPr id="1" name="" title="Screenshot aus einem TUbe-Video mit Untertitel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5477465" name="" title="Screenshot aus einem TUbe-Video mit Untertiteln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940425" cy="33161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261.12pt;mso-wrap-distance-left:0.00pt;mso-wrap-distance-top:0.00pt;mso-wrap-distance-right:0.00pt;mso-wrap-distance-bottom:0.0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</w:p>
    <w:p>
      <w:pPr>
        <w:pStyle w:val="681"/>
        <w:rPr>
          <w:b/>
          <w:bCs/>
          <w:highlight w:val="none"/>
          <w14:ligatures w14:val="none"/>
        </w:rPr>
      </w:pPr>
      <w:r>
        <w:rPr>
          <w:b/>
          <w:bCs/>
          <w:highlight w:val="none"/>
        </w:rPr>
        <w:t xml:space="preserve">Live-Untertitel auf Webex</w:t>
      </w:r>
      <w:r>
        <w:rPr>
          <w:b/>
          <w:bCs/>
          <w:highlight w:val="none"/>
        </w:rPr>
      </w:r>
    </w:p>
    <w:p>
      <w:pPr>
        <w:rPr>
          <w:highlight w:val="none"/>
          <w14:ligatures w14:val="none"/>
        </w:rPr>
      </w:pPr>
      <w:r>
        <w:rPr>
          <w:highlight w:val="none"/>
        </w:rPr>
        <w:t xml:space="preserve">Für Live-Online-Lehrveranstaltungen, die mit Webex abgehalten werden, gibt es für Studierende </w:t>
      </w:r>
      <w:r>
        <w:rPr>
          <w:highlight w:val="none"/>
        </w:rPr>
        <w:t xml:space="preserve">die Möglichkeit, Live-Untertitel direkt im Webex-Meeting zu aktivieren. Sobald die Untertitel </w:t>
      </w:r>
      <w:r>
        <w:rPr>
          <w:highlight w:val="none"/>
        </w:rPr>
        <w:t xml:space="preserve">aktiviert sind und die gesprochene Sprache ausgewählt ist, werden live Untertitel generiert.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Bitte beachten Sie jedoch, dass die Live-Untertitel, auch abhängig von der </w:t>
      </w:r>
      <w:r/>
      <w:r>
        <w:rPr>
          <w:highlight w:val="none"/>
        </w:rPr>
        <w:t xml:space="preserve">gesprochenen Sprache, noch nicht immer korrekt und vollständig sind.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81"/>
        <w:rPr>
          <w:b/>
        </w:rPr>
      </w:pPr>
      <w:r>
        <w:rPr>
          <w:b/>
          <w:highlight w:val="none"/>
        </w:rPr>
        <w:t xml:space="preserve">Asynchrone Lehrveranstaltungseinheiten</w:t>
      </w:r>
      <w:r>
        <w:rPr>
          <w:b/>
        </w:rPr>
      </w:r>
    </w:p>
    <w:p>
      <w:r>
        <w:t xml:space="preserve">Oftmals können Lernziele genauso gut im asynchronen Format erreicht </w:t>
      </w:r>
      <w:r>
        <w:t xml:space="preserve">werden. Überlegen Sie sich vor Semesterbeginn, zu welchen synchronen </w:t>
      </w:r>
      <w:r>
        <w:t xml:space="preserve">Lehrveranstaltungseinheiten Sie zusätzlich asynchrone Aufgaben </w:t>
      </w:r>
      <w:r>
        <w:t xml:space="preserve">und Inhalte zur Verfügung stellen könnten, um Studierende mit einer </w:t>
      </w:r>
      <w:r>
        <w:t xml:space="preserve">Beeinträchtigung zu unterstützen. Möchten Sie eine synchrone Einheit </w:t>
      </w:r>
      <w:r>
        <w:t xml:space="preserve">durch asynchrone Lehre ersetzen, ist dies jedoch laut dem Satzungsteil </w:t>
      </w:r>
      <w:r>
        <w:t xml:space="preserve">Studienrecht (Stand Oktober 2021) genehmigungspflichtig.</w:t>
      </w:r>
      <w:r/>
    </w:p>
    <w:p>
      <w:r>
        <w:t xml:space="preserve">Weitere Informationen </w:t>
      </w:r>
      <w:r>
        <w:t xml:space="preserve">finden Sie in der Rubrik </w:t>
      </w:r>
      <w:r>
        <w:t xml:space="preserve">Hochschule im Beitrag: </w:t>
      </w:r>
      <w:r>
        <w:t xml:space="preserve">#03 Ergänzung - Virtuelle </w:t>
      </w:r>
      <w:r>
        <w:t xml:space="preserve">Lehre und Online-Prüfungen </w:t>
      </w:r>
      <w:r>
        <w:t xml:space="preserve">im Satzungsteil.</w:t>
      </w:r>
      <w:r/>
    </w:p>
    <w:p>
      <w:pPr>
        <w:pStyle w:val="681"/>
        <w:rPr>
          <w:b/>
          <w:bCs/>
        </w:rPr>
      </w:pPr>
      <w:r>
        <w:rPr>
          <w:b/>
          <w:bCs/>
        </w:rPr>
        <w:t xml:space="preserve">Barrierearmes TeachCenter-Design</w:t>
      </w:r>
      <w:r>
        <w:rPr>
          <w:b/>
          <w:bCs/>
        </w:rPr>
      </w:r>
    </w:p>
    <w:p>
      <w:pPr>
        <w:rPr>
          <w:highlight w:val="none"/>
        </w:rPr>
      </w:pPr>
      <w:r>
        <w:rPr>
          <w:highlight w:val="none"/>
        </w:rPr>
        <w:t xml:space="preserve">Seit Juli 2023 gibt es die Möglichkeit, im eigenen Profil im TeachCenter auf ein barrierearmes </w:t>
      </w:r>
      <w:r/>
      <w:r>
        <w:rPr>
          <w:highlight w:val="none"/>
        </w:rPr>
        <w:t xml:space="preserve">Design umzuschalten. Der Fokus dieses Designs liegt auf Personen mit einer Sehbehinderung.</w:t>
      </w:r>
      <w:r/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Das Design ist dem Standard-Design recht ähnlich, jedoch sind die Schriften größer. </w:t>
      </w:r>
      <w:r/>
      <w:r>
        <w:rPr>
          <w:highlight w:val="none"/>
        </w:rPr>
        <w:t xml:space="preserve">Es wurde auch auf höhere Kontraste geachtet und </w:t>
      </w:r>
      <w:r/>
      <w:r>
        <w:rPr>
          <w:highlight w:val="none"/>
        </w:rPr>
      </w:r>
      <w:r>
        <w:rPr>
          <w:highlight w:val="none"/>
        </w:rPr>
        <w:t xml:space="preserve">die Farbkombination rot-grün vermieden, um auf </w:t>
      </w:r>
      <w:r/>
      <w:r>
        <w:rPr>
          <w:highlight w:val="none"/>
        </w:rPr>
      </w:r>
      <w:r>
        <w:rPr>
          <w:highlight w:val="none"/>
        </w:rPr>
        <w:t xml:space="preserve">Farbblindheit Rücksicht zu nehmen. </w:t>
      </w:r>
      <w:r/>
      <w:r>
        <w:rPr>
          <w:highlight w:val="none"/>
        </w:rPr>
      </w:r>
      <w:r>
        <w:rPr>
          <w:highlight w:val="none"/>
        </w:rPr>
        <w:t xml:space="preserve">Das Design ist auch für assistive Technologien wie </w:t>
      </w:r>
      <w:r/>
      <w:r>
        <w:rPr>
          <w:highlight w:val="none"/>
        </w:rPr>
      </w:r>
      <w:r>
        <w:rPr>
          <w:highlight w:val="none"/>
        </w:rPr>
        <w:t xml:space="preserve">Screenreader zugänglich. 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Das barrierearme Design </w:t>
      </w:r>
      <w:r>
        <w:rPr>
          <w:highlight w:val="none"/>
        </w:rPr>
      </w:r>
      <w:r/>
      <w:r>
        <w:rPr>
          <w:highlight w:val="none"/>
        </w:rPr>
        <w:t xml:space="preserve">kann den Zugang zum TeachCenter und die </w:t>
      </w:r>
      <w:r/>
      <w:r>
        <w:rPr>
          <w:highlight w:val="none"/>
        </w:rPr>
      </w:r>
      <w:r>
        <w:rPr>
          <w:highlight w:val="none"/>
        </w:rPr>
        <w:t xml:space="preserve">Navigation erleichtern. Kurse sind aber nur so </w:t>
      </w:r>
      <w:r/>
      <w:r>
        <w:rPr>
          <w:highlight w:val="none"/>
        </w:rPr>
      </w:r>
      <w:r>
        <w:rPr>
          <w:highlight w:val="none"/>
        </w:rPr>
        <w:t xml:space="preserve">barrierearm wie die bereitgestellten Inhalte. </w:t>
      </w:r>
      <w:r/>
      <w:r>
        <w:rPr>
          <w:highlight w:val="none"/>
        </w:rPr>
      </w:r>
      <w:r>
        <w:rPr>
          <w:highlight w:val="none"/>
        </w:rPr>
        <w:t xml:space="preserve">Um diese zu überprüfen, kann das Accessibility </w:t>
      </w:r>
      <w:r/>
      <w:r>
        <w:rPr>
          <w:highlight w:val="none"/>
        </w:rPr>
      </w:r>
      <w:r>
        <w:rPr>
          <w:highlight w:val="none"/>
        </w:rPr>
        <w:t xml:space="preserve">Toolkit verwendet werden, das im Folgenden </w:t>
      </w:r>
      <w:r/>
      <w:r>
        <w:rPr>
          <w:highlight w:val="none"/>
        </w:rPr>
      </w:r>
      <w:r>
        <w:rPr>
          <w:highlight w:val="none"/>
        </w:rPr>
        <w:t xml:space="preserve">erklärt wird.</w:t>
      </w:r>
      <w:r/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681"/>
        <w:rPr>
          <w:b/>
        </w:rPr>
      </w:pPr>
      <w:r>
        <w:rPr>
          <w:b/>
          <w:highlight w:val="none"/>
        </w:rPr>
        <w:t xml:space="preserve">Accessibility Toolkit</w:t>
      </w:r>
      <w:r>
        <w:rPr>
          <w:b/>
        </w:rPr>
      </w:r>
    </w:p>
    <w:p>
      <w:pPr>
        <w:rPr>
          <w:highlight w:val="none"/>
        </w:rPr>
      </w:pPr>
      <w:r>
        <w:t xml:space="preserve">Das Accessibility Toolkit ist eine neue Funktion im TeachCenter, mit der Kursinhalte auf Barrierefreiheit </w:t>
      </w:r>
      <w:r/>
      <w:r>
        <w:t xml:space="preserve">geprüft werden können. Es kann z. B. Textfelder, Bilder und Quizfragen überprüfen, jedoch </w:t>
      </w:r>
      <w:r/>
      <w:r/>
      <w:r>
        <w:t xml:space="preserve">keine Inhalte von hochgeladenen Dokumenten wie PDFs und keine TUbe-Videos. Das Toolkit ist </w:t>
      </w:r>
      <w:r/>
      <w:r/>
      <w:r>
        <w:t xml:space="preserve">entweder über das Kurshauptmenü oder in der Seitenleiste rechts zugänglich.</w:t>
      </w:r>
      <w:r/>
      <w:r/>
      <w:r/>
      <w:r/>
    </w:p>
    <w:p>
      <w:pPr>
        <w:rPr>
          <w:highlight w:val="none"/>
        </w:rPr>
      </w:pPr>
      <w:r>
        <w:rPr>
          <w:highlight w:val="none"/>
        </w:rPr>
        <w:t xml:space="preserve">Die Inhalte werden anhand von Barrierefreiheitsstandards in sechs </w:t>
      </w:r>
      <w:r/>
      <w:r>
        <w:rPr>
          <w:highlight w:val="none"/>
        </w:rPr>
        <w:t xml:space="preserve">Kategorien überprüft. Am Schluss kann eine Fehlerliste ausgegeben </w:t>
      </w:r>
      <w:r/>
      <w:r>
        <w:rPr>
          <w:highlight w:val="none"/>
        </w:rPr>
      </w:r>
      <w:r>
        <w:rPr>
          <w:highlight w:val="none"/>
        </w:rPr>
        <w:t xml:space="preserve">werden, Fehler können über Links in dieser Liste direkt korrigiert </w:t>
      </w:r>
      <w:r/>
      <w:r>
        <w:rPr>
          <w:highlight w:val="none"/>
        </w:rPr>
      </w:r>
      <w:r>
        <w:rPr>
          <w:highlight w:val="none"/>
        </w:rPr>
        <w:t xml:space="preserve">werden.</w:t>
      </w:r>
      <w:r/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Eine </w:t>
      </w:r>
      <w:hyperlink r:id="rId13" w:tooltip="Anleitung Accessiblity Toolkit" w:history="1">
        <w:r>
          <w:rPr>
            <w:rStyle w:val="837"/>
            <w:highlight w:val="none"/>
          </w:rPr>
          <w:t xml:space="preserve">Schritt-für-Schritt-Anleitung für das Accessibility Toolkit </w:t>
        </w:r>
      </w:hyperlink>
      <w:r>
        <w:rPr>
          <w:highlight w:val="none"/>
        </w:rPr>
        <w:t xml:space="preserve">finden Sie </w:t>
      </w:r>
      <w:r>
        <w:rPr>
          <w:highlight w:val="none"/>
        </w:rPr>
        <w:t xml:space="preserve">auf TELucation-Website.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510702"/>
                <wp:effectExtent l="0" t="0" r="0" b="0"/>
                <wp:docPr id="2" name="" title="Screenshot aus dem TeachCenter mit eingeschaltetem Accessibility Toolk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1465110" name="" title="Screenshot aus dem TeachCenter mit eingeschaltetem Accessibility Toolkit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0" flipH="0" flipV="0">
                          <a:off x="0" y="0"/>
                          <a:ext cx="5940425" cy="35107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276.43pt;mso-wrap-distance-left:0.00pt;mso-wrap-distance-top:0.00pt;mso-wrap-distance-right:0.00pt;mso-wrap-distance-bottom:0.00pt;rotation:0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highlight w:val="none"/>
        </w:rPr>
      </w:r>
    </w:p>
    <w:p>
      <w:pPr>
        <w:pStyle w:val="681"/>
        <w:rPr>
          <w:b/>
        </w:rPr>
      </w:pPr>
      <w:r>
        <w:rPr>
          <w:b/>
          <w:highlight w:val="none"/>
        </w:rPr>
        <w:t xml:space="preserve">Generelle Hinweise und Kontakt</w:t>
      </w:r>
      <w:r>
        <w:rPr>
          <w:b/>
        </w:rPr>
      </w:r>
    </w:p>
    <w:p>
      <w:r>
        <w:t xml:space="preserve">Wir hoffen, dass diese neuen Barrierefreiheits-Tools und Funktionen es Ihnen erleichtern, </w:t>
      </w:r>
      <w:r>
        <w:t xml:space="preserve">barrierearmen Unterricht zu gestalten. Bei allen Systemen und Tools ist jedoch zu beachten, </w:t>
      </w:r>
      <w:r/>
      <w:r/>
      <w:r>
        <w:t xml:space="preserve">dass diese nicht alle Fälle abdecken können und Kurse dadurch barrierearm, aber nicht </w:t>
      </w:r>
      <w:r/>
      <w:r/>
      <w:r>
        <w:t xml:space="preserve">unbedingt komplett barrierefrei für alle werden.</w:t>
      </w:r>
      <w:r/>
      <w:r/>
    </w:p>
    <w:p>
      <w:r>
        <w:t xml:space="preserve">Automatisierte Tools wie das Accessibility Toolkit arbeiten mit vorgegebenen Barrierefreiheits-</w:t>
      </w:r>
      <w:r>
        <w:t xml:space="preserve">Regeln, jedoch muss auch hier immer anhand der konkreten Situation entschieden werden, </w:t>
      </w:r>
      <w:r/>
      <w:r/>
      <w:r>
        <w:t xml:space="preserve">ob ein Fehler korrigiert werden muss oder nicht.</w:t>
      </w:r>
      <w:r/>
      <w:r/>
      <w:r/>
    </w:p>
    <w:p>
      <w:r>
        <w:t xml:space="preserve">Auch bei den automatisiert erstellten Untertiteln und bei den Live-Untertiteln kann es natürlich </w:t>
      </w:r>
      <w:r>
        <w:t xml:space="preserve">noch zu Fehlern kommen, vor allem bei fachspezifischem Vokabular, wenn die Audioqualität </w:t>
      </w:r>
      <w:r>
        <w:t xml:space="preserve">nicht ideal ist oder im Dialekt gesprochen wird. </w:t>
      </w:r>
      <w:r/>
    </w:p>
    <w:p>
      <w:r/>
      <w:r>
        <w:t xml:space="preserve">Deshalb freuen wir uns auch immer über Feedback von Lehrenden und Studierenden, </w:t>
      </w:r>
      <w:r>
        <w:t xml:space="preserve">die die Barrierefreiheits-Tools ausprobieren und nutzen.</w:t>
      </w:r>
      <w:r>
        <w:t xml:space="preserve"> </w:t>
      </w:r>
      <w:r>
        <w:t xml:space="preserve">Schreiben Sie uns Ihr Feedback gerne an </w:t>
      </w:r>
      <w:hyperlink r:id="rId15" w:tooltip="Support-E-Mail TeachCenter" w:history="1">
        <w:r>
          <w:rPr>
            <w:rStyle w:val="837"/>
          </w:rPr>
          <w:t xml:space="preserve">tc@tugraz.at</w:t>
        </w:r>
      </w:hyperlink>
      <w:r>
        <w:t xml:space="preserve"> für das TeachCenter-Design </w:t>
      </w:r>
      <w:r>
        <w:t xml:space="preserve">und das Accessibility Toolkit oder an </w:t>
      </w:r>
      <w:hyperlink r:id="rId16" w:tooltip="Support-E-Mail TUbe" w:history="1">
        <w:r>
          <w:rPr>
            <w:rStyle w:val="837"/>
          </w:rPr>
          <w:t xml:space="preserve">tube@tugraz.at</w:t>
        </w:r>
      </w:hyperlink>
      <w:r>
        <w:t xml:space="preserve"> für die Untertitel.</w:t>
      </w:r>
      <w:r/>
      <w:r/>
    </w:p>
    <w:p>
      <w:pPr>
        <w:rPr>
          <w:b/>
          <w:bCs/>
          <w:sz w:val="34"/>
          <w:szCs w:val="34"/>
          <w:highlight w:val="none"/>
        </w:rPr>
      </w:pPr>
      <w:r>
        <w:rPr>
          <w:b/>
          <w:sz w:val="34"/>
          <w:highlight w:val="none"/>
        </w:rPr>
        <w:t xml:space="preserve">Sticker zum Beitrag</w:t>
      </w:r>
      <w:r>
        <w:rPr>
          <w:b/>
          <w:sz w:val="34"/>
          <w:highlight w:val="none"/>
        </w:rPr>
      </w:r>
      <w:r/>
    </w:p>
    <w:p>
      <w:r>
        <w:rPr>
          <w:b/>
          <w:sz w:val="3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664290" cy="2117555"/>
                <wp:effectExtent l="0" t="0" r="0" b="0"/>
                <wp:docPr id="3" name="" title="Illustration eines Computers umgeben von Barrierefreiheits-Symbolen wie Symbol für Untertitel, Gehörlosigkeit etc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3663876" name="" title="Illustration eines Computers umgeben von Barrierefreiheits-Symbolen wie Symbol für Untertitel, Gehörlosigkeit etc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 rot="0" flipH="0" flipV="0">
                          <a:off x="0" y="0"/>
                          <a:ext cx="3664290" cy="21175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88.53pt;height:166.74pt;mso-wrap-distance-left:0.00pt;mso-wrap-distance-top:0.00pt;mso-wrap-distance-right:0.00pt;mso-wrap-distance-bottom:0.00pt;rotation:0;" stroked="false">
                <v:path textboxrect="0,0,0,0"/>
                <v:imagedata r:id="rId17" o:title=""/>
              </v:shape>
            </w:pict>
          </mc:Fallback>
        </mc:AlternateContent>
      </w:r>
      <w:r>
        <w:rPr>
          <w:b/>
          <w:sz w:val="34"/>
          <w:highlight w:val="none"/>
        </w:rPr>
      </w:r>
      <w:r>
        <w:rPr>
          <w:sz w:val="24"/>
          <w:highlight w:val="none"/>
        </w:rPr>
      </w:r>
      <w:r/>
      <w:r>
        <w:rPr>
          <w:sz w:val="24"/>
          <w:highlight w:val="none"/>
        </w:rPr>
      </w:r>
      <w:r>
        <w:rPr>
          <w:sz w:val="24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57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291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011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73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451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171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489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611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331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1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1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de-DE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Title"/>
    <w:basedOn w:val="855"/>
    <w:next w:val="855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link w:val="697"/>
    <w:uiPriority w:val="10"/>
    <w:rPr>
      <w:sz w:val="48"/>
      <w:szCs w:val="48"/>
    </w:rPr>
  </w:style>
  <w:style w:type="paragraph" w:styleId="699">
    <w:name w:val="Subtitle"/>
    <w:basedOn w:val="855"/>
    <w:next w:val="855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link w:val="699"/>
    <w:uiPriority w:val="11"/>
    <w:rPr>
      <w:sz w:val="24"/>
      <w:szCs w:val="24"/>
    </w:rPr>
  </w:style>
  <w:style w:type="paragraph" w:styleId="701">
    <w:name w:val="Quote"/>
    <w:basedOn w:val="855"/>
    <w:next w:val="855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5"/>
    <w:next w:val="855"/>
    <w:link w:val="704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855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>
    <w:name w:val="Header Char"/>
    <w:link w:val="705"/>
    <w:uiPriority w:val="99"/>
  </w:style>
  <w:style w:type="paragraph" w:styleId="707">
    <w:name w:val="Footer"/>
    <w:basedOn w:val="855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link w:val="707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/>
    </w:tblPr>
    <w:tblStylePr w:type="band1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1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2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3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4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5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/>
      </w:tcPr>
    </w:tblStylePr>
    <w:tblStylePr w:type="band1Vert">
      <w:tcPr>
        <w:shd w:val="clear" w:color="ffffff" w:fill="ffffff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6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7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8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19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0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1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2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3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4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5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6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7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8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29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/>
      </w:tcPr>
    </w:tblStylePr>
  </w:style>
  <w:style w:type="table" w:styleId="830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pPr>
      <w:contextualSpacing w:val="0"/>
      <w:ind w:left="0" w:right="0" w:firstLine="0"/>
      <w:jc w:val="left"/>
      <w:spacing w:before="200" w:after="198" w:line="276" w:lineRule="auto"/>
      <w:shd w:val="clear" w:color="ffff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uppressLineNumbers w:val="0"/>
    </w:pPr>
    <w:rPr>
      <w:rFonts w:ascii="Arial" w:hAnsi="Arial" w:eastAsia="Arial" w:cs="Arial"/>
      <w:b w:val="0"/>
      <w:color w:val="000000"/>
      <w:sz w:val="24"/>
    </w:rPr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No Spacing"/>
    <w:basedOn w:val="855"/>
    <w:uiPriority w:val="1"/>
    <w:qFormat/>
    <w:pPr>
      <w:spacing w:after="0" w:line="240" w:lineRule="auto"/>
    </w:pPr>
  </w:style>
  <w:style w:type="paragraph" w:styleId="859">
    <w:name w:val="List Paragraph"/>
    <w:basedOn w:val="855"/>
    <w:uiPriority w:val="34"/>
    <w:qFormat/>
    <w:pPr>
      <w:contextualSpacing/>
      <w:ind w:left="720"/>
    </w:pPr>
  </w:style>
  <w:style w:type="character" w:styleId="86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creativecommons.org/licenses/by/4.0/deed.de" TargetMode="External"/><Relationship Id="rId10" Type="http://schemas.openxmlformats.org/officeDocument/2006/relationships/hyperlink" Target="https://www.tugraz.at/studium/studieren-an-der-tu-graz/studieninteressierte/gestu-graz-gehoerlos-und-schwerhoerig-erfolgreich-studieren/" TargetMode="External"/><Relationship Id="rId11" Type="http://schemas.openxmlformats.org/officeDocument/2006/relationships/hyperlink" Target="mailto:tube@tugraz.a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telucation.tugraz.at/accessibility-toolkit/" TargetMode="External"/><Relationship Id="rId14" Type="http://schemas.openxmlformats.org/officeDocument/2006/relationships/image" Target="media/image2.png"/><Relationship Id="rId15" Type="http://schemas.openxmlformats.org/officeDocument/2006/relationships/hyperlink" Target="mailto:tc@tugraz.at" TargetMode="External"/><Relationship Id="rId16" Type="http://schemas.openxmlformats.org/officeDocument/2006/relationships/hyperlink" Target="mailto:tube@tugraz.at" TargetMode="External"/><Relationship Id="rId17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Hochschule #11 Barrierefreiheit in der Lehre</dc:title>
  <dc:subject/>
  <dc:creator>TU Graz Lehr- und Lerntechnologien</dc:creator>
  <cp:keywords/>
  <dc:description/>
  <cp:lastModifiedBy>Edelsbrunner, Sarah (sarah.edelsbrunner@tugraz.at)</cp:lastModifiedBy>
  <cp:revision>16</cp:revision>
  <dcterms:modified xsi:type="dcterms:W3CDTF">2023-10-04T07:05:19Z</dcterms:modified>
</cp:coreProperties>
</file>