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pBdr/>
        <w:spacing/>
        <w:ind/>
        <w:rPr/>
      </w:pPr>
      <w:r>
        <w:rPr>
          <w:b/>
        </w:rPr>
        <w:t xml:space="preserve">Tool #07 Mahara: die Plattform für Lehrende der TU Graz</w:t>
      </w:r>
      <w:r/>
    </w:p>
    <w:tbl>
      <w:tblPr>
        <w:tblStyle w:val="735"/>
        <w:tblW w:w="0" w:type="auto"/>
        <w:tblBorders/>
        <w:tblLook w:val="0480" w:firstRow="0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Autorin</w:t>
            </w:r>
            <w:r>
              <w:rPr>
                <w:color w:val="000000" w:themeColor="text1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Teaching Academy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Veröffentlichung</w:t>
            </w: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Februar 2024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Lizenz</w:t>
            </w: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sz w:val="24"/>
              </w:rPr>
              <w:t xml:space="preserve">Lizenziert unter der</w:t>
            </w:r>
            <w:r>
              <w:t xml:space="preserve"> </w:t>
            </w:r>
            <w:hyperlink r:id="rId10" w:tooltip="CC BY 4.0" w:history="1">
              <w:r>
                <w:rPr>
                  <w:rStyle w:val="859"/>
                  <w:sz w:val="24"/>
                </w:rPr>
                <w:t xml:space="preserve">Creative-Commons-Lizenz CC BY 4.0</w:t>
              </w:r>
            </w:hyperlink>
            <w:r>
              <w:rPr>
                <w:sz w:val="24"/>
              </w:rPr>
              <w:t xml:space="preserve">. Das Foto aus dem Broadcasting-Studio ist von der CC-BY-Lizenz ausgenommen.</w:t>
            </w:r>
            <w:r>
              <w:rPr>
                <w:sz w:val="24"/>
              </w:rPr>
            </w:r>
            <w:r/>
          </w:p>
        </w:tc>
      </w:tr>
    </w:tbl>
    <w:p>
      <w:pPr>
        <w:suppressLineNumbers w:val="false"/>
        <w:pBdr/>
        <w:spacing w:after="200" w:before="200" w:line="276" w:lineRule="auto"/>
        <w:ind/>
        <w:contextualSpacing w:val="false"/>
        <w:jc w:val="left"/>
        <w:rPr>
          <w:highlight w:val="none"/>
        </w:rPr>
      </w:pPr>
      <w:r>
        <w:rPr>
          <w:highlight w:val="none"/>
        </w:rPr>
        <w:t xml:space="preserve">Mahara ist eine Vernetzungs- und Portfolio-Plattform für Lehrende an der TU Graz, die </w:t>
      </w:r>
      <w:r/>
      <w:r>
        <w:rPr>
          <w:highlight w:val="none"/>
        </w:rPr>
        <w:t xml:space="preserve">Ihnen viele Möglichkeiten zur Entwicklung und Sichtbarmachung Ihrer Lehre bietet. </w:t>
      </w:r>
      <w:r/>
      <w:r>
        <w:rPr>
          <w:highlight w:val="none"/>
        </w:rPr>
      </w:r>
      <w:r>
        <w:rPr>
          <w:highlight w:val="none"/>
        </w:rPr>
        <w:t xml:space="preserve">Mahara steht für „Erstellen“, „Teilen“ und „Mitmachen“. Wir laden Sie herzlich ein, auf </w:t>
      </w:r>
      <w:r/>
      <w:r>
        <w:rPr>
          <w:highlight w:val="none"/>
        </w:rPr>
      </w:r>
      <w:r>
        <w:rPr>
          <w:highlight w:val="none"/>
        </w:rPr>
        <w:t xml:space="preserve">der Plattform aktiv zu werden.</w:t>
      </w:r>
      <w:r/>
      <w:r>
        <w:rPr>
          <w:highlight w:val="none"/>
        </w:rPr>
      </w:r>
    </w:p>
    <w:p>
      <w:pPr>
        <w:suppressLineNumbers w:val="false"/>
        <w:pBdr/>
        <w:spacing w:after="200" w:before="200" w:line="276" w:lineRule="auto"/>
        <w:ind/>
        <w:contextualSpacing w:val="false"/>
        <w:jc w:val="left"/>
        <w:rPr>
          <w:highlight w:val="none"/>
        </w:rPr>
      </w:pPr>
      <w:r>
        <w:rPr>
          <w:highlight w:val="none"/>
        </w:rPr>
        <w:t xml:space="preserve">Erstellen Sie ihre persönlichen Portfolios. Teilen Sie Inhalte mit </w:t>
      </w:r>
      <w:r/>
      <w:r>
        <w:rPr>
          <w:highlight w:val="none"/>
        </w:rPr>
        <w:t xml:space="preserve">ausgewählten Personen oder Gruppen und vernetzen Sie sich </w:t>
      </w:r>
      <w:r/>
      <w:r>
        <w:rPr>
          <w:highlight w:val="none"/>
        </w:rPr>
      </w:r>
      <w:r>
        <w:rPr>
          <w:highlight w:val="none"/>
        </w:rPr>
        <w:t xml:space="preserve">mit anderen Lehrenden, machen Sie also mit!</w:t>
      </w:r>
      <w:r/>
      <w:r>
        <w:rPr>
          <w:highlight w:val="none"/>
        </w:rPr>
        <w:t xml:space="preserve">.</w:t>
      </w:r>
      <w:r>
        <w:rPr>
          <w:highlight w:val="none"/>
        </w:rPr>
      </w:r>
      <w:r/>
      <w:r>
        <w:rPr>
          <w:highlight w:val="none"/>
        </w:rPr>
      </w:r>
    </w:p>
    <w:p>
      <w:pPr>
        <w:pStyle w:val="703"/>
        <w:suppressLineNumbers w:val="false"/>
        <w:pBdr/>
        <w:spacing/>
        <w:ind/>
        <w:rPr/>
      </w:pPr>
      <w:r>
        <w:t xml:space="preserve">Was kann Mahara für Sie und Ihre Lehre leisten?</w:t>
      </w:r>
      <w:r/>
    </w:p>
    <w:p>
      <w:pPr>
        <w:pBdr/>
        <w:spacing w:after="200" w:before="200" w:line="276" w:lineRule="auto"/>
        <w:ind/>
        <w:contextualSpacing w:val="false"/>
        <w:jc w:val="left"/>
        <w:rPr>
          <w:highlight w:val="none"/>
          <w14:ligatures w14:val="none"/>
        </w:rPr>
      </w:pPr>
      <w:r>
        <w:rPr>
          <w:highlight w:val="none"/>
        </w:rPr>
        <w:t xml:space="preserve">Mahara bietet Ihnen eine Plattform zur strukturierten Entwicklung, Dokumentation </w:t>
      </w:r>
      <w:r>
        <w:rPr>
          <w:highlight w:val="none"/>
        </w:rPr>
      </w:r>
      <w:r>
        <w:rPr>
          <w:highlight w:val="none"/>
        </w:rPr>
        <w:t xml:space="preserve">und Reflexion Ihrer didaktischen Überlegungen und Ihrer Lehrtätigkeit in Form von </w:t>
      </w: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</w:rPr>
        <w:t xml:space="preserve">Portfolios, d. h. grafisch aufbereiteten Sammlungen von Bildern, Texten und anderen </w:t>
      </w: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</w:rPr>
        <w:t xml:space="preserve">Inhalten. Das kann entweder nur für Sie selbst erfolgen oder aber auch im Austausch </w:t>
      </w: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</w:rPr>
        <w:t xml:space="preserve">mit anderen Lehrenden. Mahara fördert durch verschiedene Möglichkeiten der </w:t>
      </w: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</w:rPr>
        <w:t xml:space="preserve">Interaktion die kollegiale Zusammenarbeit und das Teilen von bewährten Praktiken. </w:t>
      </w: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</w:rPr>
        <w:t xml:space="preserve">So unterstützt Mahara die Schaffung einer lebendigen Lerngemeinschaft, zu der Sie </w:t>
      </w: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</w:rPr>
        <w:t xml:space="preserve">aktiv beitragen können und aus der Sie wertvolle Impulse zur Weiterentwicklung </w:t>
      </w: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</w:rPr>
        <w:t xml:space="preserve">Ihrer Lehrkompetenz erhalten können</w:t>
      </w:r>
      <w:r>
        <w:rPr>
          <w:highlight w:val="none"/>
        </w:rPr>
      </w:r>
      <w:r>
        <w:rPr>
          <w:highlight w:val="none"/>
        </w:rPr>
        <w:t xml:space="preserve">.</w:t>
      </w:r>
      <w:r>
        <w:rPr>
          <w:highlight w:val="none"/>
          <w14:ligatures w14:val="none"/>
        </w:rPr>
      </w:r>
    </w:p>
    <w:p>
      <w:pPr>
        <w:pBdr/>
        <w:spacing w:after="200" w:before="200" w:line="276" w:lineRule="auto"/>
        <w:ind/>
        <w:contextualSpacing w:val="false"/>
        <w:jc w:val="left"/>
        <w:rPr>
          <w:highlight w:val="none"/>
          <w14:ligatures w14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5915" cy="4068299"/>
                <wp:effectExtent l="0" t="0" r="0" b="0"/>
                <wp:docPr id="1" name="" title="Dashboard von Mah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9555185" name="" title="Dashboard von Mahara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5235915" cy="4068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2.28pt;height:320.34pt;mso-wrap-distance-left:0.00pt;mso-wrap-distance-top:0.00pt;mso-wrap-distance-right:0.00pt;mso-wrap-distance-bottom:0.00pt;rotation:0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</w:p>
    <w:p>
      <w:pPr>
        <w:pStyle w:val="703"/>
        <w:pBdr/>
        <w:spacing/>
        <w:ind/>
        <w:rPr>
          <w:highlight w:val="none"/>
        </w:rPr>
      </w:pPr>
      <w:r>
        <w:rPr>
          <w:highlight w:val="none"/>
        </w:rPr>
        <w:t xml:space="preserve">Wie kann ich als Lehrende:r der TU Graz Mahara </w:t>
      </w:r>
      <w:r/>
      <w:r>
        <w:rPr>
          <w:highlight w:val="none"/>
        </w:rPr>
        <w:t xml:space="preserve">nutzen?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Im Folgenden werden einige </w:t>
      </w:r>
      <w:r/>
      <w:r>
        <w:t xml:space="preserve">Einsatzmöglichkeiten von </w:t>
      </w:r>
      <w:r/>
      <w:r/>
      <w:r>
        <w:t xml:space="preserve">Mahara für Sie als Lehrende:r </w:t>
      </w:r>
      <w:r/>
      <w:r/>
      <w:r>
        <w:t xml:space="preserve">der TU Graz umrissen.</w:t>
      </w:r>
      <w:r/>
      <w:r/>
      <w:r/>
      <w:r/>
    </w:p>
    <w:p>
      <w:pPr>
        <w:pStyle w:val="705"/>
        <w:pBdr/>
        <w:spacing/>
        <w:ind/>
        <w:rPr/>
      </w:pPr>
      <w:r>
        <w:t xml:space="preserve">Profil anpassen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Sobald Sie sich auf mahara.</w:t>
      </w:r>
      <w:r>
        <w:rPr>
          <w:highlight w:val="none"/>
        </w:rPr>
        <w:t xml:space="preserve">tugraz.at mit Ihren TU-Graz-</w:t>
      </w:r>
      <w:r>
        <w:rPr>
          <w:highlight w:val="none"/>
        </w:rPr>
      </w:r>
      <w:r>
        <w:rPr>
          <w:highlight w:val="none"/>
        </w:rPr>
        <w:t xml:space="preserve">Zugangsdaten über SSO </w:t>
      </w:r>
      <w:r/>
      <w:r>
        <w:rPr>
          <w:highlight w:val="none"/>
        </w:rPr>
      </w:r>
      <w:r>
        <w:rPr>
          <w:highlight w:val="none"/>
        </w:rPr>
        <w:t xml:space="preserve">eingeloggt haben, können </w:t>
      </w:r>
      <w:r/>
      <w:r>
        <w:rPr>
          <w:highlight w:val="none"/>
        </w:rPr>
        <w:t xml:space="preserve">Sie Ihr Profil anpassen. 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  <w:t xml:space="preserve">Fügen Sie ein Profilbild </w:t>
      </w:r>
      <w:r/>
      <w:r>
        <w:rPr>
          <w:highlight w:val="none"/>
        </w:rPr>
        <w:t xml:space="preserve">hinzu, aktualisieren Sie </w:t>
      </w:r>
      <w:r/>
      <w:r>
        <w:rPr>
          <w:highlight w:val="none"/>
        </w:rPr>
      </w:r>
      <w:r>
        <w:rPr>
          <w:highlight w:val="none"/>
        </w:rPr>
        <w:t xml:space="preserve">Ihre Informationen und stellen Sie sich der Teaching </w:t>
      </w:r>
      <w:r/>
      <w:r>
        <w:rPr>
          <w:highlight w:val="none"/>
        </w:rPr>
      </w:r>
      <w:r>
        <w:rPr>
          <w:highlight w:val="none"/>
        </w:rPr>
        <w:t xml:space="preserve">Community der TU Graz vor, indem Sie z. B. Ihre </w:t>
      </w:r>
      <w:r/>
      <w:r>
        <w:rPr>
          <w:highlight w:val="none"/>
        </w:rPr>
      </w:r>
      <w:r>
        <w:rPr>
          <w:highlight w:val="none"/>
        </w:rPr>
        <w:t xml:space="preserve">Schwerpunkte in der Lehre auflisten</w:t>
      </w:r>
      <w:r/>
      <w:r>
        <w:rPr>
          <w:highlight w:val="none"/>
        </w:rPr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705"/>
        <w:pBdr/>
        <w:spacing/>
        <w:ind/>
        <w:rPr>
          <w:highlight w:val="none"/>
        </w:rPr>
      </w:pPr>
      <w:r>
        <w:rPr>
          <w:highlight w:val="none"/>
        </w:rPr>
        <w:t xml:space="preserve">In eine Gruppe einsteigen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Austausch und voneinander Lernen ist zentral für die Weiterentwicklung der Lehre. Treten Sie </w:t>
      </w:r>
      <w:r/>
      <w:r>
        <w:t xml:space="preserve">einer Gruppe bei, entdecken Sie neue Ideen für Ihre Lehre, teilen Sie Ihr Wissen und arbeiten </w:t>
      </w:r>
      <w:r/>
      <w:r/>
      <w:r>
        <w:t xml:space="preserve">Sie mit Kolleg:innen zusammen an Portfolios. Zur Gruppe „</w:t>
      </w:r>
      <w:r>
        <w:rPr>
          <w:lang w:val="en-GB"/>
        </w:rPr>
        <w:t xml:space="preserve">Teaching Community@TUGraz“</w:t>
      </w:r>
      <w:r>
        <w:t xml:space="preserve"> </w:t>
      </w:r>
      <w:r/>
      <w:r/>
      <w:r>
        <w:t xml:space="preserve">werden Sie automatisch eingeschrieben.</w:t>
      </w:r>
      <w:r/>
      <w:r/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463838"/>
                <wp:effectExtent l="0" t="0" r="0" b="0"/>
                <wp:docPr id="2" name="" title="Gruppenseite auf Mahara mit gemeinsamen Foren, Blogs und Datei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0502805" name="" title="Gruppenseite auf Mahara mit gemeinsamen Foren, Blogs und Dateien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940425" cy="4463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7.75pt;height:351.48pt;mso-wrap-distance-left:0.00pt;mso-wrap-distance-top:0.00pt;mso-wrap-distance-right:0.00pt;mso-wrap-distance-bottom:0.00pt;rotation:0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</w:p>
    <w:p>
      <w:pPr>
        <w:pStyle w:val="705"/>
        <w:pBdr/>
        <w:spacing/>
        <w:ind/>
        <w:rPr/>
      </w:pPr>
      <w:r>
        <w:rPr>
          <w:highlight w:val="none"/>
        </w:rPr>
        <w:t xml:space="preserve">Mit Personen vernetzen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Suchen Sie nach Lehrenden der TU Graz, die auf Mahara aktiv sind. Fügen Sie Kontakte hinzu, </w:t>
      </w:r>
      <w:r/>
      <w:r>
        <w:t xml:space="preserve">schreiben Sie sich Nachrichten oder teilen Sie Ihre Portfolios</w:t>
      </w:r>
      <w:r/>
      <w:r/>
      <w:r>
        <w:t xml:space="preserve">.</w:t>
      </w:r>
      <w:r/>
    </w:p>
    <w:p>
      <w:pPr>
        <w:pStyle w:val="705"/>
        <w:pBdr/>
        <w:spacing/>
        <w:ind/>
        <w:rPr/>
      </w:pPr>
      <w:r>
        <w:rPr>
          <w:highlight w:val="none"/>
        </w:rPr>
        <w:t xml:space="preserve">In einem Forum diskutieren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Beteiligen Sie sich an Diskussionen in Gruppenforen. Stellen Sie Fragen zu interessanten </w:t>
      </w:r>
      <w:r/>
      <w:r>
        <w:t xml:space="preserve">Themen in der Lehre oder geben Sie Kolleg:innen Feedback</w:t>
      </w:r>
      <w:r/>
      <w:r/>
      <w:r>
        <w:t xml:space="preserve">.</w:t>
      </w:r>
      <w:r/>
    </w:p>
    <w:p>
      <w:pPr>
        <w:pStyle w:val="705"/>
        <w:pBdr/>
        <w:spacing/>
        <w:ind/>
        <w:rPr/>
      </w:pPr>
      <w:r>
        <w:rPr>
          <w:highlight w:val="none"/>
        </w:rPr>
        <w:t xml:space="preserve">Portfolios anlegen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Erstellen Sie ein eigenes Portfolio. Entwickeln </w:t>
      </w:r>
      <w:r/>
      <w:r>
        <w:t xml:space="preserve">Sie Ihre Lehrkonzepte, Lehrportfolios und Best-</w:t>
      </w:r>
      <w:r/>
      <w:r/>
      <w:r>
        <w:t xml:space="preserve">Practice-Beispiele. Gestalten Sie alles nach Ihren </w:t>
      </w:r>
      <w:r/>
      <w:r/>
      <w:r>
        <w:t xml:space="preserve">Vorstellungen. Bauen Sie Texte, Bilder, Videos </w:t>
      </w:r>
      <w:r/>
      <w:r>
        <w:t xml:space="preserve">oder Beiträge aus Ihrem persönlichen Mahara-</w:t>
      </w:r>
      <w:r/>
      <w:r>
        <w:t xml:space="preserve">internen Blog ein. Alles ist zunächst nur für Sie </w:t>
      </w:r>
      <w:r/>
      <w:r/>
      <w:r>
        <w:t xml:space="preserve">selbst sichtbar.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426860"/>
                <wp:effectExtent l="0" t="0" r="0" b="0"/>
                <wp:docPr id="3" name="" title="Screenshot eines Portfolios zu einer Lehrveranstaltung mit Text und Bilder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645662" name="" title="Screenshot eines Portfolios zu einer Lehrveranstaltung mit Text und Bildern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5940425" cy="442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67.75pt;height:348.57pt;mso-wrap-distance-left:0.00pt;mso-wrap-distance-top:0.00pt;mso-wrap-distance-right:0.00pt;mso-wrap-distance-bottom:0.00pt;rotation:0;z-index:1;" stroked="false">
                <v:imagedata r:id="rId13" o:title=""/>
                <o:lock v:ext="edit" rotation="t"/>
              </v:shape>
            </w:pict>
          </mc:Fallback>
        </mc:AlternateContent>
      </w:r>
      <w:r/>
      <w:r/>
    </w:p>
    <w:p>
      <w:pPr>
        <w:pStyle w:val="705"/>
        <w:pBdr/>
        <w:spacing/>
        <w:ind/>
        <w:rPr/>
      </w:pPr>
      <w:r>
        <w:rPr>
          <w:highlight w:val="none"/>
        </w:rPr>
        <w:t xml:space="preserve">Blog schreiben</w:t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Schreiben Sie Ihre Gedanken zur Lehre in einem in Mahara integrierten Blog auf und legen Sie </w:t>
      </w:r>
      <w:r/>
      <w:r>
        <w:t xml:space="preserve">ein Lerntagebuch an. Der Prozess der aktiven Reflexion über Ihre Lehre trägt zur Steigerung </w:t>
      </w:r>
      <w:r/>
      <w:r/>
      <w:r>
        <w:t xml:space="preserve">Ihrer Lehrkompetenz bei. Auch hier entscheiden Sie, ob und wer welche Einträge lesen kann</w:t>
      </w:r>
      <w:r/>
      <w:r/>
      <w:r>
        <w:t xml:space="preserve">.</w:t>
      </w:r>
      <w:r/>
    </w:p>
    <w:p>
      <w:pPr>
        <w:pStyle w:val="705"/>
        <w:pBdr/>
        <w:spacing/>
        <w:ind/>
        <w:rPr/>
      </w:pPr>
      <w:r>
        <w:t xml:space="preserve">Portfolio teilen</w:t>
      </w:r>
      <w:r/>
    </w:p>
    <w:p>
      <w:pPr>
        <w:pBdr/>
        <w:spacing/>
        <w:ind/>
        <w:rPr/>
      </w:pPr>
      <w:r>
        <w:t xml:space="preserve">Teilen Sie Ihre Portfolios mit bestimmten Personen, mit einer Gruppe oder stellen Sie sie </w:t>
      </w:r>
      <w:r/>
      <w:r>
        <w:t xml:space="preserve">öffentlich zur Verfügung. Mahara ermöglicht es Ihnen, Ihr Portfolio, Ihren Mahara-internen </w:t>
      </w:r>
      <w:r/>
      <w:r/>
      <w:r>
        <w:t xml:space="preserve">Blog oder bestimmte Teile davon in der Teaching Community der TU Graz zu präsentieren </w:t>
      </w:r>
      <w:r/>
      <w:r>
        <w:t xml:space="preserve">oder für die Öffentlichkeit freizugeben. Dabei können Sie entscheiden, ob Kolleg:innen Ihnen </w:t>
      </w:r>
      <w:r/>
      <w:r>
        <w:t xml:space="preserve">Feedback in Form von Kommentaren geben können</w:t>
      </w:r>
      <w:r/>
      <w:r/>
      <w:r>
        <w:t xml:space="preserve">.</w:t>
      </w:r>
      <w:r/>
    </w:p>
    <w:p>
      <w:pPr>
        <w:pStyle w:val="705"/>
        <w:pBdr/>
        <w:spacing/>
        <w:ind/>
        <w:rPr/>
      </w:pPr>
      <w:r>
        <w:t xml:space="preserve">Pläne anlegen</w:t>
      </w:r>
      <w:r/>
    </w:p>
    <w:p>
      <w:pPr>
        <w:pBdr/>
        <w:spacing/>
        <w:ind/>
        <w:rPr/>
      </w:pPr>
      <w:r>
        <w:t xml:space="preserve">Pläne sind einfache Aufgabenlisten für einzelne Nutzer:innen oder Gruppen. Diese sind gut </w:t>
      </w:r>
      <w:r/>
      <w:r>
        <w:t xml:space="preserve">geeignet, um mittel- oder langfristigere Aufgaben zu planen. Legen Sie selbst z. B. individuelle </w:t>
      </w:r>
      <w:r/>
      <w:r>
        <w:t xml:space="preserve">Ziele für die Erstellung eines Portfolios fest. Pläne können ebenfalls in Portfolios integriert </w:t>
      </w:r>
      <w:r/>
      <w:r/>
      <w:r>
        <w:t xml:space="preserve">werden.</w:t>
      </w:r>
      <w:r/>
      <w:r/>
      <w:r/>
      <w:r/>
      <w:r/>
    </w:p>
    <w:p>
      <w:pPr>
        <w:pStyle w:val="703"/>
        <w:pBdr/>
        <w:spacing/>
        <w:ind/>
        <w:rPr/>
      </w:pPr>
      <w:r>
        <w:t xml:space="preserve">Tipps zum Start</w:t>
      </w:r>
      <w:r/>
    </w:p>
    <w:p>
      <w:pPr>
        <w:pBdr/>
        <w:spacing/>
        <w:ind/>
        <w:rPr>
          <w:highlight w:val="none"/>
        </w:rPr>
      </w:pPr>
      <w:r>
        <w:t xml:space="preserve">Gestalten Sie zuerst Ihr persönliches Profil und stellen Sie sich der Teaching Community vor. </w:t>
      </w:r>
      <w:r/>
      <w:r>
        <w:t xml:space="preserve">Treten Sie Gruppen bei und lassen Sie sich von den Portfolios anderer Kolleg:innen inspirieren. </w:t>
      </w:r>
      <w:r/>
      <w:r/>
      <w:r>
        <w:t xml:space="preserve">Beginnen Sie dann Ihr persönliches Portfolio anzulegen, Lehrkonzepte zu verfassen und </w:t>
      </w:r>
      <w:r/>
      <w:r/>
      <w:r>
        <w:t xml:space="preserve">begleitend an einem in Mahara integrierten Blog zu schreiben. Zunächst nur für Sie privat. </w:t>
      </w:r>
      <w:r/>
      <w:r/>
      <w:r>
        <w:t xml:space="preserve">Sie entscheiden Schritt für Schritt, ob und wann sowie wem Sie Inhalte zur Verfügung stellen</w:t>
      </w:r>
      <w:r/>
      <w:r/>
      <w:r>
        <w:t xml:space="preserve">.</w:t>
      </w:r>
      <w:r/>
    </w:p>
    <w:p>
      <w:pPr>
        <w:pStyle w:val="703"/>
        <w:pBdr/>
        <w:spacing/>
        <w:ind/>
        <w:rPr/>
      </w:pPr>
      <w:r>
        <w:rPr>
          <w:highlight w:val="none"/>
        </w:rPr>
        <w:t xml:space="preserve">Kontakt</w:t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Bei Fragen zur Nutzung von Mahara kontaktieren </w:t>
      </w:r>
      <w:r/>
      <w:r>
        <w:t xml:space="preserve">Sie mahara@tugraz.at.</w:t>
      </w:r>
      <w:r/>
      <w:r/>
      <w:r/>
      <w:r/>
    </w:p>
    <w:p>
      <w:pPr>
        <w:pStyle w:val="703"/>
        <w:pBdr/>
        <w:spacing/>
        <w:ind/>
        <w:rPr/>
      </w:pPr>
      <w:r>
        <w:rPr>
          <w:rStyle w:val="704"/>
        </w:rPr>
        <w:t xml:space="preserve">Sticker zum Beitrag</w:t>
      </w:r>
      <w:r>
        <w:rPr>
          <w:rStyle w:val="704"/>
        </w:rPr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590925" cy="2219325"/>
                <wp:effectExtent l="0" t="0" r="0" b="0"/>
                <wp:docPr id="4" name="" title="Sticker zum Beitrag: Liniengrafik von zwei Personen, die vor einem Computer sitz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237862" name="" title="Sticker zum Beitrag: Liniengrafik von zwei Personen, die vor einem Computer sitzen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3590925" cy="2219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282.75pt;height:174.75pt;mso-wrap-distance-left:0.00pt;mso-wrap-distance-top:0.00pt;mso-wrap-distance-right:0.00pt;mso-wrap-distance-bottom:0.00pt;rotation:0;z-index:1;" stroked="false">
                <v:imagedata r:id="rId14" o:title=""/>
                <o:lock v:ext="edit" rotation="t"/>
              </v:shape>
            </w:pict>
          </mc:Fallback>
        </mc:AlternateContent>
      </w:r>
      <w:r/>
    </w:p>
    <w:sectPr>
      <w:footerReference w:type="default" r:id="rId9"/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space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space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7"/>
    <w:next w:val="877"/>
    <w:link w:val="70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b/>
      <w:sz w:val="40"/>
      <w:szCs w:val="40"/>
    </w:rPr>
  </w:style>
  <w:style w:type="character" w:styleId="702">
    <w:name w:val="Heading 1 Char"/>
    <w:link w:val="701"/>
    <w:uiPriority w:val="9"/>
    <w:pPr>
      <w:pBdr/>
      <w:spacing/>
      <w:ind/>
    </w:pPr>
    <w:rPr>
      <w:b/>
    </w:rPr>
  </w:style>
  <w:style w:type="paragraph" w:styleId="703">
    <w:name w:val="Heading 2"/>
    <w:basedOn w:val="877"/>
    <w:next w:val="877"/>
    <w:link w:val="704"/>
    <w:uiPriority w:val="9"/>
    <w:unhideWhenUsed/>
    <w:qFormat/>
    <w:pPr>
      <w:keepNext w:val="true"/>
      <w:keepLines w:val="true"/>
      <w:suppressLineNumbers w:val="false"/>
      <w:pBdr/>
      <w:spacing w:after="200" w:before="360"/>
      <w:ind/>
      <w:outlineLvl w:val="1"/>
    </w:pPr>
    <w:rPr>
      <w:rFonts w:ascii="Arial" w:hAnsi="Arial" w:eastAsia="Arial" w:cs="Arial"/>
      <w:b/>
      <w:sz w:val="34"/>
    </w:rPr>
  </w:style>
  <w:style w:type="character" w:styleId="704">
    <w:name w:val="Heading 2 Char"/>
    <w:link w:val="703"/>
    <w:uiPriority w:val="9"/>
    <w:pPr>
      <w:pBdr/>
      <w:spacing/>
      <w:ind/>
    </w:pPr>
    <w:rPr>
      <w:b/>
    </w:rPr>
  </w:style>
  <w:style w:type="paragraph" w:styleId="705">
    <w:name w:val="Heading 3"/>
    <w:basedOn w:val="877"/>
    <w:next w:val="877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b/>
      <w:sz w:val="30"/>
      <w:szCs w:val="30"/>
    </w:rPr>
  </w:style>
  <w:style w:type="character" w:styleId="706">
    <w:name w:val="Heading 3 Char"/>
    <w:link w:val="705"/>
    <w:uiPriority w:val="9"/>
    <w:pPr>
      <w:pBdr/>
      <w:spacing/>
      <w:ind/>
    </w:pPr>
    <w:rPr>
      <w:b/>
    </w:rPr>
  </w:style>
  <w:style w:type="paragraph" w:styleId="707">
    <w:name w:val="Heading 4"/>
    <w:basedOn w:val="877"/>
    <w:next w:val="877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7"/>
    <w:next w:val="87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7"/>
    <w:next w:val="877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7"/>
    <w:next w:val="877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link w:val="7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7"/>
    <w:next w:val="877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link w:val="7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7"/>
    <w:next w:val="87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link w:val="7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877"/>
    <w:next w:val="877"/>
    <w:link w:val="7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0">
    <w:name w:val="Title Char"/>
    <w:link w:val="719"/>
    <w:uiPriority w:val="10"/>
    <w:pPr>
      <w:pBdr/>
      <w:spacing/>
      <w:ind/>
    </w:pPr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2">
    <w:name w:val="Subtitle Char"/>
    <w:link w:val="721"/>
    <w:uiPriority w:val="11"/>
    <w:pPr>
      <w:pBdr/>
      <w:spacing/>
      <w:ind/>
    </w:pPr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pBdr/>
      <w:spacing/>
      <w:ind w:right="720" w:left="720"/>
    </w:pPr>
    <w:rPr>
      <w:i/>
    </w:rPr>
  </w:style>
  <w:style w:type="character" w:styleId="724">
    <w:name w:val="Quote Char"/>
    <w:link w:val="723"/>
    <w:uiPriority w:val="29"/>
    <w:pPr>
      <w:pBdr/>
      <w:spacing/>
      <w:ind/>
    </w:pPr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  <w:contextualSpacing w:val="false"/>
    </w:pPr>
    <w:rPr>
      <w:i/>
    </w:rPr>
  </w:style>
  <w:style w:type="character" w:styleId="726">
    <w:name w:val="Intense Quote Char"/>
    <w:link w:val="725"/>
    <w:uiPriority w:val="30"/>
    <w:pPr>
      <w:pBdr/>
      <w:spacing/>
      <w:ind/>
    </w:pPr>
    <w:rPr>
      <w:i/>
    </w:rPr>
  </w:style>
  <w:style w:type="paragraph" w:styleId="727">
    <w:name w:val="Header"/>
    <w:basedOn w:val="877"/>
    <w:link w:val="7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Header Char"/>
    <w:link w:val="727"/>
    <w:uiPriority w:val="99"/>
    <w:pPr>
      <w:pBdr/>
      <w:spacing/>
      <w:ind/>
    </w:pPr>
  </w:style>
  <w:style w:type="paragraph" w:styleId="729">
    <w:name w:val="Footer"/>
    <w:basedOn w:val="877"/>
    <w:link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0">
    <w:name w:val="Footer Char"/>
    <w:link w:val="729"/>
    <w:uiPriority w:val="99"/>
    <w:pPr>
      <w:pBdr/>
      <w:spacing/>
      <w:ind/>
    </w:pPr>
  </w:style>
  <w:style w:type="paragraph" w:styleId="731">
    <w:name w:val="Caption"/>
    <w:basedOn w:val="877"/>
    <w:next w:val="8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  <w:pPr>
      <w:pBdr/>
      <w:spacing/>
      <w:ind/>
    </w:pPr>
  </w:style>
  <w:style w:type="table" w:styleId="733">
    <w:name w:val="Table Grid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1">
    <w:name w:val="Footnote Text Char"/>
    <w:link w:val="860"/>
    <w:uiPriority w:val="99"/>
    <w:pPr>
      <w:pBdr/>
      <w:spacing/>
      <w:ind/>
    </w:pPr>
    <w:rPr>
      <w:sz w:val="18"/>
    </w:rPr>
  </w:style>
  <w:style w:type="character" w:styleId="8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4">
    <w:name w:val="Endnote Text Char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pBdr/>
      <w:spacing w:after="57"/>
      <w:ind w:right="0" w:firstLine="0" w:left="0"/>
    </w:pPr>
  </w:style>
  <w:style w:type="paragraph" w:styleId="867">
    <w:name w:val="toc 2"/>
    <w:basedOn w:val="877"/>
    <w:next w:val="877"/>
    <w:uiPriority w:val="39"/>
    <w:unhideWhenUsed/>
    <w:pPr>
      <w:pBdr/>
      <w:spacing w:after="57"/>
      <w:ind w:right="0" w:firstLine="0" w:left="283"/>
    </w:pPr>
  </w:style>
  <w:style w:type="paragraph" w:styleId="868">
    <w:name w:val="toc 3"/>
    <w:basedOn w:val="877"/>
    <w:next w:val="877"/>
    <w:uiPriority w:val="39"/>
    <w:unhideWhenUsed/>
    <w:pPr>
      <w:pBdr/>
      <w:spacing w:after="57"/>
      <w:ind w:right="0" w:firstLine="0" w:left="567"/>
    </w:pPr>
  </w:style>
  <w:style w:type="paragraph" w:styleId="869">
    <w:name w:val="toc 4"/>
    <w:basedOn w:val="877"/>
    <w:next w:val="877"/>
    <w:uiPriority w:val="39"/>
    <w:unhideWhenUsed/>
    <w:pPr>
      <w:pBdr/>
      <w:spacing w:after="57"/>
      <w:ind w:right="0" w:firstLine="0" w:left="850"/>
    </w:pPr>
  </w:style>
  <w:style w:type="paragraph" w:styleId="870">
    <w:name w:val="toc 5"/>
    <w:basedOn w:val="877"/>
    <w:next w:val="877"/>
    <w:uiPriority w:val="39"/>
    <w:unhideWhenUsed/>
    <w:pPr>
      <w:pBdr/>
      <w:spacing w:after="57"/>
      <w:ind w:right="0" w:firstLine="0" w:left="1134"/>
    </w:pPr>
  </w:style>
  <w:style w:type="paragraph" w:styleId="871">
    <w:name w:val="toc 6"/>
    <w:basedOn w:val="877"/>
    <w:next w:val="877"/>
    <w:uiPriority w:val="39"/>
    <w:unhideWhenUsed/>
    <w:pPr>
      <w:pBdr/>
      <w:spacing w:after="57"/>
      <w:ind w:right="0" w:firstLine="0" w:left="1417"/>
    </w:pPr>
  </w:style>
  <w:style w:type="paragraph" w:styleId="872">
    <w:name w:val="toc 7"/>
    <w:basedOn w:val="877"/>
    <w:next w:val="877"/>
    <w:uiPriority w:val="39"/>
    <w:unhideWhenUsed/>
    <w:pPr>
      <w:pBdr/>
      <w:spacing w:after="57"/>
      <w:ind w:right="0" w:firstLine="0" w:left="1701"/>
    </w:pPr>
  </w:style>
  <w:style w:type="paragraph" w:styleId="873">
    <w:name w:val="toc 8"/>
    <w:basedOn w:val="877"/>
    <w:next w:val="877"/>
    <w:uiPriority w:val="39"/>
    <w:unhideWhenUsed/>
    <w:pPr>
      <w:pBdr/>
      <w:spacing w:after="57"/>
      <w:ind w:right="0" w:firstLine="0" w:left="1984"/>
    </w:pPr>
  </w:style>
  <w:style w:type="paragraph" w:styleId="874">
    <w:name w:val="toc 9"/>
    <w:basedOn w:val="877"/>
    <w:next w:val="877"/>
    <w:uiPriority w:val="39"/>
    <w:unhideWhenUsed/>
    <w:pPr>
      <w:pBdr/>
      <w:spacing w:after="57"/>
      <w:ind w:right="0" w:firstLine="0" w:left="2268"/>
    </w:p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basedOn w:val="877"/>
    <w:next w:val="877"/>
    <w:uiPriority w:val="99"/>
    <w:unhideWhenUsed/>
    <w:pPr>
      <w:pBdr/>
      <w:spacing w:after="0" w:afterAutospacing="0"/>
      <w:ind/>
    </w:pPr>
  </w:style>
  <w:style w:type="paragraph" w:styleId="877" w:default="1">
    <w:name w:val="Normal"/>
    <w:qFormat/>
    <w:pPr>
      <w:suppressLineNumbers w:val="false"/>
      <w:pBdr/>
      <w:spacing w:after="200" w:before="200" w:line="276" w:lineRule="auto"/>
      <w:ind/>
      <w:contextualSpacing w:val="false"/>
      <w:jc w:val="left"/>
    </w:pPr>
    <w:rPr>
      <w:sz w:val="24"/>
    </w:r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9" w:default="1">
    <w:name w:val="No List"/>
    <w:uiPriority w:val="99"/>
    <w:semiHidden/>
    <w:unhideWhenUsed/>
    <w:pPr>
      <w:pBdr/>
      <w:spacing/>
      <w:ind/>
    </w:pPr>
  </w:style>
  <w:style w:type="paragraph" w:styleId="880">
    <w:name w:val="No Spacing"/>
    <w:basedOn w:val="877"/>
    <w:uiPriority w:val="1"/>
    <w:qFormat/>
    <w:pPr>
      <w:pBdr/>
      <w:spacing w:after="0" w:line="240" w:lineRule="auto"/>
      <w:ind/>
    </w:pPr>
  </w:style>
  <w:style w:type="paragraph" w:styleId="881">
    <w:name w:val="List Paragraph"/>
    <w:basedOn w:val="877"/>
    <w:uiPriority w:val="34"/>
    <w:qFormat/>
    <w:pPr>
      <w:pBdr/>
      <w:spacing/>
      <w:ind w:left="720"/>
      <w:contextualSpacing w:val="true"/>
    </w:p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creativecommons.org/licenses/by/4.0/deed.de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#07: Mahara</dc:title>
  <dc:subject/>
  <dc:creator>TU Graz Teaching Academy</dc:creator>
  <cp:keywords/>
  <dc:description/>
  <cp:lastModifiedBy>Edelsbrunner, Sarah (sarah.edelsbrunner@tugraz.at)</cp:lastModifiedBy>
  <cp:revision>18</cp:revision>
  <dcterms:modified xsi:type="dcterms:W3CDTF">2024-02-07T08:20:47Z</dcterms:modified>
</cp:coreProperties>
</file>