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8"/>
        <w:suppressLineNumbers w:val="false"/>
        <w:pBdr/>
        <w:spacing w:after="200" w:before="200"/>
        <w:ind/>
        <w:contextualSpacing w:val="false"/>
        <w:jc w:val="left"/>
        <w:rPr/>
      </w:pPr>
      <w:r>
        <w:t xml:space="preserve">Didaktik </w:t>
      </w:r>
      <w:r>
        <w:t xml:space="preserve">#11</w:t>
      </w:r>
      <w:r>
        <w:t xml:space="preserve"> </w:t>
      </w:r>
      <w:r>
        <w:rPr>
          <w:lang w:val="en-GB"/>
        </w:rPr>
        <w:t xml:space="preserve">Prüfen in Zeiten von KI: Absicherung des Prüfungsformats</w:t>
      </w:r>
      <w:r/>
    </w:p>
    <w:tbl>
      <w:tblPr>
        <w:tblStyle w:val="775"/>
        <w:tblW w:w="0" w:type="auto"/>
        <w:tblBorders/>
        <w:tblLook w:val="0480" w:firstRow="0" w:lastRow="0" w:firstColumn="1" w:lastColumn="0" w:noHBand="0" w:noVBand="1"/>
      </w:tblPr>
      <w:tblGrid>
        <w:gridCol w:w="4673"/>
        <w:gridCol w:w="4672"/>
      </w:tblGrid>
      <w:tr>
        <w:trPr/>
        <w:tc>
          <w:tcPr>
            <w:tcBorders/>
            <w:tcW w:w="4673" w:type="dxa"/>
            <w:textDirection w:val="lrTb"/>
            <w:noWrap w:val="false"/>
          </w:tcPr>
          <w:p>
            <w:pPr>
              <w:suppressLineNumbers w:val="false"/>
              <w:pBdr/>
              <w:spacing w:after="200" w:before="200" w:line="276" w:lineRule="auto"/>
              <w:ind/>
              <w:contextualSpacing w:val="false"/>
              <w:jc w:val="left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Autor</w:t>
            </w:r>
            <w:r>
              <w:rPr>
                <w:bCs/>
                <w:color w:val="000000" w:themeColor="text1"/>
              </w:rPr>
              <w:t xml:space="preserve">:innen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4672" w:type="dxa"/>
            <w:textDirection w:val="lrTb"/>
            <w:noWrap w:val="false"/>
          </w:tcPr>
          <w:p>
            <w:pPr>
              <w:suppressLineNumbers w:val="false"/>
              <w:pBdr/>
              <w:spacing w:after="200" w:before="200"/>
              <w:ind/>
              <w:contextualSpacing w:val="false"/>
              <w:jc w:val="left"/>
              <w:rPr>
                <w:color w:val="000000"/>
              </w:rPr>
            </w:pPr>
            <w:r>
              <w:rPr>
                <w:color w:val="000000" w:themeColor="text1"/>
              </w:rPr>
              <w:t xml:space="preserve">Benedikt Brünner (Institute of Interactive Systems and Data Science)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4673" w:type="dxa"/>
            <w:textDirection w:val="lrTb"/>
            <w:noWrap w:val="false"/>
          </w:tcPr>
          <w:p>
            <w:pPr>
              <w:suppressLineNumbers w:val="false"/>
              <w:pBdr/>
              <w:spacing w:after="200" w:before="200" w:line="276" w:lineRule="auto"/>
              <w:ind/>
              <w:contextualSpacing w:val="false"/>
              <w:jc w:val="left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Veröffentlichung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4672" w:type="dxa"/>
            <w:textDirection w:val="lrTb"/>
            <w:noWrap w:val="false"/>
          </w:tcPr>
          <w:p>
            <w:pPr>
              <w:suppressLineNumbers w:val="false"/>
              <w:pBdr/>
              <w:spacing w:after="200" w:before="200" w:line="276" w:lineRule="auto"/>
              <w:ind/>
              <w:contextualSpacing w:val="false"/>
              <w:jc w:val="left"/>
              <w:rPr>
                <w:color w:val="000000"/>
              </w:rPr>
            </w:pPr>
            <w:r>
              <w:rPr>
                <w:color w:val="000000" w:themeColor="text1"/>
              </w:rPr>
              <w:t xml:space="preserve">September 2024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4673" w:type="dxa"/>
            <w:textDirection w:val="lrTb"/>
            <w:noWrap w:val="false"/>
          </w:tcPr>
          <w:p>
            <w:pPr>
              <w:suppressLineNumbers w:val="false"/>
              <w:pBdr/>
              <w:spacing w:after="200" w:before="200" w:line="276" w:lineRule="auto"/>
              <w:ind/>
              <w:contextualSpacing w:val="false"/>
              <w:jc w:val="left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Lizenz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4672" w:type="dxa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00" w:before="200" w:line="276" w:lineRule="auto"/>
              <w:ind/>
              <w:contextualSpacing w:val="false"/>
              <w:jc w:val="left"/>
              <w:rPr>
                <w:color w:val="000000"/>
              </w:rPr>
            </w:pPr>
            <w:r>
              <w:rPr>
                <w:color w:val="000000" w:themeColor="text1"/>
              </w:rPr>
              <w:t xml:space="preserve">Lizenziert unter der </w:t>
            </w:r>
            <w:hyperlink r:id="rId10" w:tooltip="CC BY 4.0" w:history="1">
              <w:r>
                <w:rPr>
                  <w:rStyle w:val="899"/>
                </w:rPr>
                <w:t xml:space="preserve">Creative-Commons-Lizenz CC BY 4.0 International</w:t>
              </w:r>
            </w:hyperlink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Die rasante Entwicklung generativer KI verändert die Hochschullehre </w:t>
      </w:r>
      <w:r/>
      <w:r>
        <w:rPr>
          <w:highlight w:val="none"/>
          <w14:ligatures w14:val="none"/>
        </w:rPr>
        <w:t xml:space="preserve">und Prüfungsszenarien. 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Einerseits bieten diverse Tools sowohl Lehrenden als auch 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Studierenden wertvolle Unterstützung, indem sie kreative 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Prozesse in der Lehrveranstaltungsplanung und -durchführung 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erleichtern.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</w:r>
      <w:r>
        <w:rPr>
          <w14:ligatures w14:val="none"/>
        </w:rPr>
      </w:r>
      <w:r>
        <w:rPr>
          <w:highlight w:val="none"/>
          <w14:ligatures w14:val="none"/>
        </w:rPr>
      </w:r>
    </w:p>
    <w:p>
      <w:p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Andererseits bringen sie neue Herausforderungen mit sich: 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18"/>
        <w:numPr>
          <w:ilvl w:val="0"/>
          <w:numId w:val="22"/>
        </w:num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Welche Kompetenzen müssen Studierende zukünftig entwickeln, </w:t>
      </w:r>
      <w:r>
        <w:rPr>
          <w:highlight w:val="none"/>
          <w14:ligatures w14:val="none"/>
        </w:rPr>
        <w:t xml:space="preserve">um sich in einer von KI geprägten Welt erfolgreich zu behaupten? </w:t>
      </w:r>
      <w:r>
        <w:rPr>
          <w:highlight w:val="none"/>
          <w14:ligatures w14:val="none"/>
        </w:rPr>
      </w:r>
      <w:r/>
    </w:p>
    <w:p>
      <w:pPr>
        <w:pStyle w:val="918"/>
        <w:numPr>
          <w:ilvl w:val="0"/>
          <w:numId w:val="22"/>
        </w:num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Wie kann sichergestellt werden, dass die erbrachten Leistungen </w:t>
      </w:r>
      <w:r>
        <w:rPr>
          <w:highlight w:val="none"/>
          <w14:ligatures w14:val="none"/>
        </w:rPr>
      </w:r>
      <w:r/>
      <w:r>
        <w:rPr>
          <w:highlight w:val="none"/>
          <w14:ligatures w14:val="none"/>
        </w:rPr>
        <w:t xml:space="preserve">tatsächlich von den Studierenden selbst stammen und nicht nur 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  <w:t xml:space="preserve">das Ergebnis eines KI-Assistenten sind?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Weitere Informationen </w:t>
      </w:r>
      <w:r>
        <w:rPr>
          <w:highlight w:val="none"/>
          <w14:ligatures w14:val="none"/>
        </w:rPr>
        <w:t xml:space="preserve">über Einsatzmöglichkeiten </w:t>
      </w:r>
      <w:r>
        <w:rPr>
          <w:highlight w:val="none"/>
          <w14:ligatures w14:val="none"/>
        </w:rPr>
        <w:t xml:space="preserve">von KI in der Lehre finden </w:t>
      </w:r>
      <w:r>
        <w:rPr>
          <w:highlight w:val="none"/>
          <w14:ligatures w14:val="none"/>
        </w:rPr>
        <w:t xml:space="preserve">Sie auch in der Rubrik </w:t>
      </w:r>
      <w:r>
        <w:rPr>
          <w:highlight w:val="none"/>
          <w14:ligatures w14:val="none"/>
        </w:rPr>
        <w:t xml:space="preserve">Didaktik im Beitrag:</w:t>
      </w:r>
      <w:hyperlink r:id="rId11" w:tooltip="https://telucation.tugraz.at/09-ki-in-der-lehre/" w:history="1">
        <w:r>
          <w:rPr>
            <w:rStyle w:val="899"/>
            <w:highlight w:val="none"/>
            <w14:ligatures w14:val="none"/>
          </w:rPr>
          <w:t xml:space="preserve"> #09 </w:t>
        </w:r>
        <w:r>
          <w:rPr>
            <w:rStyle w:val="899"/>
          </w:rPr>
        </w:r>
        <w:r>
          <w:rPr>
            <w:rStyle w:val="899"/>
            <w:highlight w:val="none"/>
            <w14:ligatures w14:val="none"/>
          </w:rPr>
        </w:r>
        <w:r>
          <w:rPr>
            <w:rStyle w:val="899"/>
            <w:highlight w:val="none"/>
            <w14:ligatures w14:val="none"/>
          </w:rPr>
          <w:t xml:space="preserve">Einsatzmöglichkeiten von </w:t>
        </w:r>
        <w:r>
          <w:rPr>
            <w:rStyle w:val="899"/>
          </w:rPr>
        </w:r>
        <w:r>
          <w:rPr>
            <w:rStyle w:val="899"/>
            <w:highlight w:val="none"/>
            <w14:ligatures w14:val="none"/>
          </w:rPr>
        </w:r>
        <w:r>
          <w:rPr>
            <w:rStyle w:val="899"/>
            <w:highlight w:val="none"/>
            <w14:ligatures w14:val="none"/>
          </w:rPr>
          <w:t xml:space="preserve">KI-gestützten Tools in der </w:t>
        </w:r>
        <w:r>
          <w:rPr>
            <w:rStyle w:val="899"/>
          </w:rPr>
        </w:r>
        <w:r>
          <w:rPr>
            <w:rStyle w:val="899"/>
            <w:highlight w:val="none"/>
            <w14:ligatures w14:val="none"/>
          </w:rPr>
          <w:t xml:space="preserve">Lehre (Teil 1)</w:t>
        </w:r>
      </w:hyperlink>
      <w:r>
        <w:rPr>
          <w:highlight w:val="none"/>
          <w14:ligatures w14:val="none"/>
        </w:rP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978619"/>
                <wp:effectExtent l="0" t="0" r="0" b="0"/>
                <wp:docPr id="1" name="" title="Absicherung, Ergänzung oder Änderung des Prüfungsforma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158169" name="" title="Absicherung, Ergänzung oder Änderung des Prüfungsformats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940425" cy="978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77.06pt;mso-wrap-distance-left:0.00pt;mso-wrap-distance-top:0.00pt;mso-wrap-distance-right:0.00pt;mso-wrap-distance-bottom:0.00pt;rotation:0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highlight w:val="none"/>
          <w14:ligatures w14:val="none"/>
        </w:rPr>
      </w:r>
    </w:p>
    <w:p>
      <w:p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Um Betrug durch KI-Einsatz bei Prüfungen entgegenzuwirken, kann man das Prüfungsformat </w:t>
      </w:r>
      <w:r/>
      <w:r>
        <w:rPr>
          <w:highlight w:val="none"/>
          <w14:ligatures w14:val="none"/>
        </w:rPr>
        <w:t xml:space="preserve">um neue Elemente ergänzen oder ganz abändern.</w:t>
      </w:r>
      <w:r/>
      <w:r>
        <w:rPr>
          <w:highlight w:val="none"/>
          <w14:ligatures w14:val="none"/>
        </w:rPr>
      </w:r>
    </w:p>
    <w:p>
      <w:pPr>
        <w:suppressLineNumbers w:val="false"/>
        <w:pBdr/>
        <w:spacing w:after="200" w:before="200"/>
        <w:ind/>
        <w:contextualSpacing w:val="false"/>
        <w:jc w:val="left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Dieser Beitrag beleuchtet jedoch am Beispiel des Brückenkurses Informatik-Fit, wie das </w:t>
      </w:r>
      <w:r/>
      <w:r>
        <w:rPr>
          <w:highlight w:val="none"/>
          <w14:ligatures w14:val="none"/>
        </w:rPr>
        <w:t xml:space="preserve">Prüfungsformat prinzipiell beibehalten, aber abgesichert werden kann.</w:t>
      </w:r>
      <w:r/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39"/>
        <w:pBdr/>
        <w:spacing/>
        <w:ind/>
        <w:rPr>
          <w14:ligatures w14:val="none"/>
        </w:rPr>
      </w:pPr>
      <w:r>
        <w:t xml:space="preserve">Kurzsteckbrief des Lernsettings</w:t>
      </w:r>
      <w:r>
        <w:rPr>
          <w14:ligatures w14:val="none"/>
        </w:rPr>
      </w:r>
    </w:p>
    <w:p>
      <w:pPr>
        <w:pStyle w:val="9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  <w:t xml:space="preserve">Vorlesung: Informatik-Fit</w:t>
      </w:r>
      <w:r/>
    </w:p>
    <w:p>
      <w:pPr>
        <w:pStyle w:val="9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  <w:t xml:space="preserve">Voraussetzungen: Keine</w:t>
      </w:r>
      <w:r/>
    </w:p>
    <w:p>
      <w:pPr>
        <w:pStyle w:val="9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  <w:t xml:space="preserve">Zeitraum: 3 Wochen im September/Oktober</w:t>
      </w:r>
      <w:r/>
    </w:p>
    <w:p>
      <w:pPr>
        <w:pStyle w:val="9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Gruppengröße: 100-150 Teilnehmende</w:t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Style w:val="9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Durchführungsart: Vorlesung als MOOC</w:t>
      </w:r>
      <w:r>
        <w:rPr>
          <w:rFonts w:ascii="Arial" w:hAnsi="Arial" w:eastAsia="Arial" w:cs="Arial"/>
          <w:color w:val="000000"/>
          <w:sz w:val="24"/>
        </w:rPr>
      </w:r>
      <w:r/>
    </w:p>
    <w:p>
      <w:pPr>
        <w:pStyle w:val="739"/>
        <w:pBdr/>
        <w:spacing/>
        <w:ind/>
        <w:rPr>
          <w14:ligatures w14:val="none"/>
        </w:rPr>
      </w:pPr>
      <w:r>
        <w:t xml:space="preserve">Dieser Beitrag beschäftigt sich mit:</w:t>
      </w:r>
      <w:r>
        <w:rPr>
          <w14:ligatures w14:val="none"/>
        </w:rPr>
      </w:r>
    </w:p>
    <w:p>
      <w:pPr>
        <w:pStyle w:val="918"/>
        <w:numPr>
          <w:ilvl w:val="0"/>
          <w:numId w:val="2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  <w:t xml:space="preserve">Multiple-Choice-Prüfungen im Hörsaal</w:t>
        <w:br/>
      </w:r>
      <w:r/>
      <w:r>
        <w:rPr>
          <w:rFonts w:ascii="Arial" w:hAnsi="Arial" w:eastAsia="Arial" w:cs="Arial"/>
          <w:color w:val="000000"/>
          <w:sz w:val="24"/>
        </w:rPr>
        <w:t xml:space="preserve">Computergestützte Paper-and-Pencil-Prüfungsauswertung </w:t>
      </w:r>
      <w:r/>
      <w:r>
        <w:rPr>
          <w:rFonts w:ascii="Arial" w:hAnsi="Arial" w:eastAsia="Arial" w:cs="Arial"/>
          <w:color w:val="000000"/>
          <w:sz w:val="24"/>
        </w:rPr>
        <w:t xml:space="preserve">mit Gradescope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Style w:val="918"/>
        <w:numPr>
          <w:ilvl w:val="0"/>
          <w:numId w:val="2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  <w:t xml:space="preserve">Sichere digitale Prüfungsumgebung</w:t>
        <w:br/>
      </w:r>
      <w:r/>
      <w:r>
        <w:rPr>
          <w:rFonts w:ascii="Arial" w:hAnsi="Arial" w:eastAsia="Arial" w:cs="Arial"/>
          <w:color w:val="000000"/>
          <w:sz w:val="24"/>
        </w:rPr>
        <w:t xml:space="preserve">Safe Exam Browser (SEB)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  <w:t xml:space="preserve">In einer Grundlagenveranstaltung oder einem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Brückenkurs wie Informatik-Fit sind Studierende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mit unterschiedlichen Vorkenntnissen anwesend.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Ziel der Lehrveranstaltung ist es, ein Basiswissen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aufzubauen, Vertiefungen erfolgen in höheren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Semestern. Bisher wurde die Prüfung als Multiple-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Choice-Prüfung online im TeachCenter Exam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abgehalten. Aufgrund des kurzen Zeitraums und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der niedrigen Taxonomiestufen der Lernziele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(Erinnern, Verstehen, Anwenden) eignet sich das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Multiple-Choice-Format trotzdem weiterhin gut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für Prüfungen in solchen Lehrveranstaltungen, eine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Ergänzung oder Änderung des Prüfungsformats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ist aktuell nicht sinnvoll. Allerdings ist die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Absicherung dieses Prüfungsformats in Zeiten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von KI-Assistenzsystemen notwendig.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Zwei Lösungsansätze, die sich an der TU Graz umsetzen lassen und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in der Lehrveranstaltung Informatik-Fit erfolgreich erprobt wurden,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werden hier vorgestellt: Paper-and-Pencil-Prüfungen im Hörsaal mit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digital unterstützter Korrektur sowie Online-Prüfungen mit dem Safe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Exam Browser.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739"/>
        <w:pBdr/>
        <w:spacing/>
        <w:ind/>
        <w:rPr>
          <w:highlight w:val="none"/>
          <w14:ligatures w14:val="none"/>
        </w:rPr>
      </w:pPr>
      <w:r>
        <w:t xml:space="preserve">Constructive Alignment als Grundlage der Prüfungsgestaltung</w:t>
      </w:r>
      <w:r>
        <w:rPr>
          <w:highlight w:val="none"/>
          <w14:ligatures w14:val="none"/>
        </w:rPr>
      </w:r>
    </w:p>
    <w:p>
      <w:pPr>
        <w:numPr>
          <w:ilvl w:val="0"/>
          <w:numId w:val="0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Das Prinzip des Constructive </w:t>
      </w:r>
      <w:r/>
      <w:r>
        <w:rPr>
          <w:rFonts w:ascii="Arial" w:hAnsi="Arial" w:eastAsia="Arial" w:cs="Arial"/>
          <w:color w:val="000000"/>
          <w:sz w:val="24"/>
        </w:rPr>
        <w:t xml:space="preserve">Alignment ist ein zentraler Ansatz zur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Gestaltung von Lehrveranstaltungen </w:t>
      </w:r>
      <w:r/>
      <w:r>
        <w:rPr>
          <w:rFonts w:ascii="Arial" w:hAnsi="Arial" w:eastAsia="Arial" w:cs="Arial"/>
          <w:color w:val="000000"/>
          <w:sz w:val="24"/>
        </w:rPr>
        <w:t xml:space="preserve">und Prüfungen. Es fordert, dass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Lernergebnisse, Lehrmethoden </w:t>
      </w:r>
      <w:r/>
      <w:r>
        <w:rPr>
          <w:rFonts w:ascii="Arial" w:hAnsi="Arial" w:eastAsia="Arial" w:cs="Arial"/>
          <w:color w:val="000000"/>
          <w:sz w:val="24"/>
        </w:rPr>
        <w:t xml:space="preserve">und Prüfungsformate aufeinander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abgestimmt werden. Bei allen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Änderungen an der Prüfung und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am Prüfungsformat, um sich gegen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Betrug durch KI-Tools abzusichern,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ist also das Constructive Alignment 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jedenfalls mitzubedenken.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contextualSpacing w:val="false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Weitere Informationen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über das Prinzip des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Constructive Alignment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finden Sie auch in der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Rubrik Didaktik im Beitrag: </w:t>
      </w:r>
      <w:r>
        <w:rPr>
          <w:rFonts w:ascii="Arial" w:hAnsi="Arial" w:eastAsia="Arial" w:cs="Arial"/>
          <w:color w:val="000000"/>
          <w:sz w:val="24"/>
          <w:highlight w:val="none"/>
        </w:rPr>
      </w:r>
      <w:hyperlink r:id="rId13" w:tooltip="https://telucation.tugraz.at/10-ki-in-der-lehre/" w:history="1">
        <w:r>
          <w:rPr>
            <w:rStyle w:val="899"/>
            <w:rFonts w:ascii="Arial" w:hAnsi="Arial" w:eastAsia="Arial" w:cs="Arial"/>
            <w:sz w:val="24"/>
            <w:highlight w:val="none"/>
          </w:rPr>
          <w:t xml:space="preserve">#10 Einsatzmöglichkeiten </w:t>
        </w:r>
        <w:r>
          <w:rPr>
            <w:rStyle w:val="899"/>
          </w:rPr>
        </w:r>
        <w:r>
          <w:rPr>
            <w:rStyle w:val="899"/>
            <w:rFonts w:ascii="Arial" w:hAnsi="Arial" w:eastAsia="Arial" w:cs="Arial"/>
            <w:sz w:val="24"/>
            <w:szCs w:val="24"/>
            <w:highlight w:val="none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  <w:t xml:space="preserve">von KI-gestützten Tools in </w:t>
        </w:r>
        <w:r>
          <w:rPr>
            <w:rStyle w:val="899"/>
          </w:rPr>
        </w:r>
        <w:r>
          <w:rPr>
            <w:rStyle w:val="899"/>
            <w:rFonts w:ascii="Arial" w:hAnsi="Arial" w:eastAsia="Arial" w:cs="Arial"/>
            <w:sz w:val="24"/>
            <w:szCs w:val="24"/>
            <w:highlight w:val="none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  <w:t xml:space="preserve">der Lehre (Teil 2)</w:t>
        </w:r>
      </w:hyperlink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739"/>
        <w:suppressLineNumbers w:val="false"/>
        <w:pBdr/>
        <w:spacing w:after="200" w:before="200"/>
        <w:ind/>
        <w:contextualSpacing w:val="false"/>
        <w:jc w:val="left"/>
        <w:rPr/>
      </w:pPr>
      <w:r>
        <w:t xml:space="preserve">Paper-and-Pencil-Prüfungen im Hörsaal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t xml:space="preserve">Mit dem Aufkommen von KI-Tools könnte man meinen, traditionelle Prüfungsformen wie Paper-and-</w:t>
      </w:r>
      <w:r>
        <w:t xml:space="preserve">Pencil-Prüfungen verlieren an Bedeutung. Doch gerade in Zeiten, in denen die Gefahr des </w:t>
      </w:r>
      <w:r/>
      <w:r/>
      <w:r>
        <w:t xml:space="preserve">Missbrauchs durch KI-gestützte Hilfsmittel besteht, gewinnen traditionelle Prüfungsformen </w:t>
      </w:r>
      <w:r/>
      <w:r/>
      <w:r>
        <w:t xml:space="preserve">wie Paper-and-Pencil-Prüfungen wieder an Relevanz. Sie bieten eine bewährte Möglichkeit, die </w:t>
      </w:r>
      <w:r/>
      <w:r/>
      <w:r>
        <w:t xml:space="preserve">Authentizität der Prüfungsleistungen zu sichern, da sie vollständig offline und ohne Zugang zu </w:t>
      </w:r>
      <w:r/>
      <w:r/>
      <w:r>
        <w:t xml:space="preserve">digitalen Hilfsmitteln durchgeführt werden. Allerdings muss bei der Erstellung von Paper-and-</w:t>
      </w:r>
      <w:r/>
      <w:r/>
      <w:r>
        <w:t xml:space="preserve">Pencil-Prüfungen sowie bei der Bewertung nicht auf digitale Tools verzichtet werden.</w:t>
      </w:r>
      <w:r/>
      <w:r/>
      <w:r/>
      <w:r>
        <w:rPr>
          <w14:ligatures w14:val="none"/>
        </w:rPr>
      </w:r>
      <w:r>
        <w:rPr>
          <w14:ligatures w14:val="none"/>
        </w:rPr>
      </w:r>
      <w:r/>
    </w:p>
    <w:p>
      <w:pPr>
        <w:pStyle w:val="740"/>
        <w:suppressLineNumbers w:val="false"/>
        <w:pBdr/>
        <w:spacing/>
        <w:ind/>
        <w:rPr>
          <w:highlight w:val="none"/>
        </w:rPr>
      </w:pPr>
      <w:r>
        <w:rPr>
          <w:szCs w:val="24"/>
          <w:highlight w:val="none"/>
        </w:rPr>
        <w:t xml:space="preserve">Unterstützung durch Exam Printer und Gradescope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Um Paper-and-Pencil-Prüfungen effizient zu gestalten, stehen Tools </w:t>
      </w:r>
      <w:r>
        <w:rPr>
          <w:rFonts w:ascii="Arial" w:hAnsi="Arial" w:eastAsia="Arial" w:cs="Arial"/>
          <w:color w:val="000000"/>
          <w:sz w:val="24"/>
        </w:rPr>
        <w:t xml:space="preserve">wie der Exam Printer und Gradescope zur Verfügung. </w:t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hyperlink r:id="rId14" w:tooltip="https://telucation.tugraz.at/pruefungen-mit-gradescope/" w:history="1">
        <w:r>
          <w:rPr>
            <w:rStyle w:val="899"/>
            <w:rFonts w:ascii="Arial" w:hAnsi="Arial" w:eastAsia="Arial" w:cs="Arial"/>
            <w:sz w:val="24"/>
          </w:rPr>
          <w:t xml:space="preserve">Gradescope </w:t>
        </w:r>
      </w:hyperlink>
      <w:r>
        <w:rPr>
          <w:rFonts w:ascii="Arial" w:hAnsi="Arial" w:eastAsia="Arial" w:cs="Arial"/>
          <w:color w:val="000000"/>
          <w:sz w:val="24"/>
        </w:rPr>
        <w:t xml:space="preserve">ermöglicht eine schnelle und unkomplizierte digitale </w:t>
      </w:r>
      <w:r>
        <w:rPr>
          <w:rFonts w:ascii="Arial" w:hAnsi="Arial" w:eastAsia="Arial" w:cs="Arial"/>
          <w:color w:val="000000"/>
          <w:sz w:val="24"/>
        </w:rPr>
        <w:t xml:space="preserve">Korrektur handschriftlicher Prüfungen, während der Exam Printer aus </w:t>
      </w:r>
      <w:r>
        <w:rPr>
          <w:rFonts w:ascii="Arial" w:hAnsi="Arial" w:eastAsia="Arial" w:cs="Arial"/>
          <w:color w:val="000000"/>
          <w:sz w:val="24"/>
        </w:rPr>
        <w:t xml:space="preserve">der Fragensammlung im TeachCenter ein druckbares PDF der Prüfung </w:t>
      </w:r>
      <w:r>
        <w:rPr>
          <w:rFonts w:ascii="Arial" w:hAnsi="Arial" w:eastAsia="Arial" w:cs="Arial"/>
          <w:color w:val="000000"/>
          <w:sz w:val="24"/>
        </w:rPr>
        <w:t xml:space="preserve">generiert.</w:t>
      </w:r>
      <w:r/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Diese Tools können auch kombiniert werden und helfen, traditionelle </w:t>
      </w:r>
      <w:r/>
      <w:r>
        <w:rPr>
          <w:rFonts w:ascii="Arial" w:hAnsi="Arial" w:eastAsia="Arial" w:cs="Arial"/>
          <w:color w:val="000000"/>
          <w:sz w:val="24"/>
        </w:rPr>
        <w:t xml:space="preserve">Prüfungsformate effizient durchzuführen und abzusichern.</w:t>
      </w:r>
      <w:r/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cs="Arial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  <w:t xml:space="preserve">Weitere Informationen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über das Tool Exam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Printer finden Sie auch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in der Rubrik TeachCenter 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im Beitrag: </w:t>
      </w:r>
      <w:hyperlink r:id="rId15" w:tooltip="https://telucation.tugraz.at/11-best-practice-exam-printer/" w:history="1">
        <w:r>
          <w:rPr>
            <w:rStyle w:val="899"/>
            <w:rFonts w:ascii="Arial" w:hAnsi="Arial" w:eastAsia="Arial" w:cs="Arial"/>
            <w:sz w:val="24"/>
            <w:highlight w:val="none"/>
          </w:rPr>
          <w:t xml:space="preserve">#11 Best- </w:t>
        </w:r>
        <w:r>
          <w:rPr>
            <w:rStyle w:val="899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  <w:t xml:space="preserve">Practice-Beispiel: Exam </w:t>
        </w:r>
        <w:r>
          <w:rPr>
            <w:rStyle w:val="899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  <w:t xml:space="preserve">Printer im TeachCenter</w:t>
        </w:r>
        <w:r>
          <w:rPr>
            <w:rStyle w:val="899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</w:r>
        <w:r>
          <w:rPr>
            <w:rStyle w:val="899"/>
            <w:rFonts w:ascii="Arial" w:hAnsi="Arial" w:eastAsia="Arial" w:cs="Arial"/>
            <w:sz w:val="24"/>
            <w:highlight w:val="none"/>
          </w:rPr>
        </w:r>
      </w:hyperlink>
      <w:r/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pStyle w:val="739"/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Sichere Online-Prüfungen mit dem Safe Exam Browser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Während der Umstieg auf Paper-and-Pencil-Prüfungen in bestimmten Szenarien eine geeignete </w:t>
      </w:r>
      <w:r/>
      <w:r>
        <w:t xml:space="preserve">Lösung darstellt, bleibt der Bedarf an sicheren digitalen Prüfungen bestehen.</w:t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Online-Prüfungen sind besonders anfällig für den Missbrauch </w:t>
      </w:r>
      <w:r>
        <w:rPr>
          <w:highlight w:val="none"/>
        </w:rPr>
        <w:t xml:space="preserve">durch KI-gestützte Tools, was die Validität der Prüfungsergebnisse </w:t>
      </w:r>
      <w:r>
        <w:rPr>
          <w:highlight w:val="none"/>
        </w:rPr>
        <w:t xml:space="preserve">gefährden kann. Hier bietet der </w:t>
      </w:r>
      <w:hyperlink r:id="rId16" w:tooltip="https://telucation.tugraz.at/safe-exam-browser/" w:history="1">
        <w:r>
          <w:rPr>
            <w:rStyle w:val="899"/>
            <w:highlight w:val="none"/>
          </w:rPr>
          <w:t xml:space="preserve">Safe Exam Browser (SEB)</w:t>
        </w:r>
      </w:hyperlink>
      <w:r>
        <w:rPr>
          <w:highlight w:val="none"/>
        </w:rPr>
        <w:t xml:space="preserve"> eine </w:t>
      </w:r>
      <w:r>
        <w:rPr>
          <w:highlight w:val="none"/>
        </w:rPr>
        <w:t xml:space="preserve">Lösung, um eine geschützte Prüfungsumgebung zu schaffen.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Der Safe Exam Browser ist ein spezieller Browser, der eine abgesicherte Umgebung schafft, </w:t>
      </w:r>
      <w:r/>
      <w:r>
        <w:t xml:space="preserve">sodass Studierende z. B. nur die Prüfung öffnen dürfen und keinen Zugriff auf unzulässige </w:t>
      </w:r>
      <w:r/>
      <w:r/>
      <w:r>
        <w:t xml:space="preserve">Hilfsmittel am Bildschirm haben. Die Einstellungen für den Safe Exam Browser können im </w:t>
      </w:r>
      <w:r/>
      <w:r/>
      <w:r>
        <w:t xml:space="preserve">TeachCenter (Exam) konfiguriert werden, der SEB ist jedoch eine eigene Softwareanwendung.</w:t>
      </w:r>
      <w:r/>
      <w:r/>
    </w:p>
    <w:p>
      <w:pPr>
        <w:pBdr/>
        <w:spacing/>
        <w:ind/>
        <w:rPr>
          <w:highlight w:val="none"/>
        </w:rPr>
      </w:pPr>
      <w:r>
        <w:t xml:space="preserve">Obwohl der SEB kostenlos auf den eigenen Geräten der Studierenden installiert werden kann, ist </w:t>
      </w:r>
      <w:r/>
      <w:r>
        <w:t xml:space="preserve">die Durchführung von Prüfungen von zu Hause aus („Take-Home-Exams“) trotzdem nicht immer </w:t>
      </w:r>
      <w:r/>
      <w:r/>
      <w:r>
        <w:t xml:space="preserve">ausreichend gesichert (Stichwort Sprach-KI-Assistenten).</w:t>
      </w:r>
      <w:r/>
      <w:r/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An der TU Graz kann der SEB in </w:t>
      </w:r>
      <w:hyperlink r:id="rId17" w:tooltip="https://tu4u.tugraz.at/bedienstete/lehre/lehrveranstaltungen/lehrsaele-mit-it-infrastruktur/standorte-und-nutzungsmoeglichkeiten" w:history="1">
        <w:r>
          <w:rPr>
            <w:rStyle w:val="899"/>
            <w:highlight w:val="none"/>
          </w:rPr>
          <w:t xml:space="preserve">Lehrsälen mit IT-Infrastruktur</w:t>
        </w:r>
      </w:hyperlink>
      <w:r>
        <w:rPr>
          <w:highlight w:val="none"/>
        </w:rPr>
        <w:t xml:space="preserve"> </w:t>
      </w:r>
      <w:r>
        <w:rPr>
          <w:highlight w:val="none"/>
        </w:rPr>
        <w:t xml:space="preserve">genutzt werden.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Alternativ gibt es auch die Option einer </w:t>
      </w:r>
      <w:r/>
      <w:r>
        <w:rPr>
          <w:highlight w:val="none"/>
        </w:rPr>
        <w:t xml:space="preserve">„bring your own device“-Prüfung (BYOD), bei </w:t>
      </w:r>
      <w:r/>
      <w:r>
        <w:rPr>
          <w:highlight w:val="none"/>
        </w:rPr>
      </w:r>
      <w:r>
        <w:rPr>
          <w:highlight w:val="none"/>
        </w:rPr>
        <w:t xml:space="preserve">der Studierende ihre eigenen Geräte in den </w:t>
      </w:r>
      <w:r/>
      <w:r>
        <w:rPr>
          <w:highlight w:val="none"/>
        </w:rPr>
      </w:r>
      <w:r>
        <w:rPr>
          <w:highlight w:val="none"/>
        </w:rPr>
        <w:t xml:space="preserve">Hörsaal mitbringen.</w:t>
      </w:r>
      <w:r/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Im Vergleich zu Gradescope bietet der SEB </w:t>
      </w:r>
      <w:r/>
      <w:r>
        <w:rPr>
          <w:highlight w:val="none"/>
        </w:rPr>
        <w:t xml:space="preserve">die Möglichkeit, bestehende TeachCenter- </w:t>
      </w:r>
      <w:r/>
      <w:r>
        <w:rPr>
          <w:highlight w:val="none"/>
        </w:rPr>
      </w:r>
      <w:r>
        <w:rPr>
          <w:highlight w:val="none"/>
        </w:rPr>
        <w:t xml:space="preserve">(Exam)-Prüfungen in einer gesicherten </w:t>
      </w:r>
      <w:r/>
      <w:r>
        <w:rPr>
          <w:highlight w:val="none"/>
        </w:rPr>
      </w:r>
      <w:r>
        <w:rPr>
          <w:highlight w:val="none"/>
        </w:rPr>
        <w:t xml:space="preserve">Umgebung zu öffnen und erfordert daher </w:t>
      </w:r>
      <w:r/>
      <w:r>
        <w:rPr>
          <w:highlight w:val="none"/>
        </w:rPr>
      </w:r>
      <w:r>
        <w:rPr>
          <w:highlight w:val="none"/>
        </w:rPr>
        <w:t xml:space="preserve">weniger Vorbereitungsaufwand. Der Einsatz </w:t>
      </w:r>
      <w:r/>
      <w:r>
        <w:rPr>
          <w:highlight w:val="none"/>
        </w:rPr>
      </w:r>
      <w:r>
        <w:rPr>
          <w:highlight w:val="none"/>
        </w:rPr>
        <w:t xml:space="preserve">in den Lehrsälen mit IT-Infrastruktur ist </w:t>
      </w:r>
      <w:r/>
      <w:r>
        <w:rPr>
          <w:highlight w:val="none"/>
        </w:rPr>
      </w:r>
      <w:r>
        <w:rPr>
          <w:highlight w:val="none"/>
        </w:rPr>
        <w:t xml:space="preserve">eine gute Option für Prüfungen mit weniger </w:t>
      </w:r>
      <w:r/>
      <w:r>
        <w:rPr>
          <w:highlight w:val="none"/>
        </w:rPr>
      </w:r>
      <w:r>
        <w:rPr>
          <w:highlight w:val="none"/>
        </w:rPr>
        <w:t xml:space="preserve">Teilnehmenden, da in diesen Lehrsälen nur </w:t>
      </w:r>
      <w:r/>
      <w:r>
        <w:rPr>
          <w:highlight w:val="none"/>
        </w:rPr>
      </w:r>
      <w:r>
        <w:rPr>
          <w:highlight w:val="none"/>
        </w:rPr>
        <w:t xml:space="preserve">begrenzte Plätze zur Verfügung stehen.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39"/>
        <w:pBdr/>
        <w:spacing/>
        <w:ind/>
        <w:rPr>
          <w:highlight w:val="none"/>
        </w:rPr>
      </w:pPr>
      <w:r>
        <w:rPr>
          <w:highlight w:val="none"/>
        </w:rPr>
        <w:t xml:space="preserve">Fazit</w:t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Die Absicherung des Prüfungsmodus in Zeiten von KI ist eine anspruchsvolle, aber notwendige </w:t>
      </w:r>
      <w:r/>
      <w:r>
        <w:t xml:space="preserve">Aufgabe. Durch den gezielten Einsatz traditioneller und moderner Prüfungsformate lässt sich </w:t>
      </w:r>
      <w:r/>
      <w:r/>
      <w:r>
        <w:t xml:space="preserve">die Integrität von Prüfungen bewahren. Constructive Alignment dient dabei als grundlegendes </w:t>
      </w:r>
      <w:r/>
      <w:r/>
      <w:r>
        <w:t xml:space="preserve">Prinzip, um sicherzustellen, dass alle Elemente des Lernprozesses – von den Lernergebnissen </w:t>
      </w:r>
      <w:r/>
      <w:r/>
      <w:r>
        <w:t xml:space="preserve">über die Lehrmethoden bis hin zu den Prüfungen – aufeinander abgestimmt sind. Der gezielte </w:t>
      </w:r>
      <w:r/>
      <w:r/>
      <w:r>
        <w:t xml:space="preserve">Einsatz von Tools wie dem TeachCenter (Exam) mit dem Exam Printer, dem Safe Exam Browser </w:t>
      </w:r>
      <w:r/>
      <w:r/>
      <w:r>
        <w:t xml:space="preserve">sowie Gradescope bietet wertvolle Unterstützung bei der Sicherstellung valider und fairer</w:t>
      </w:r>
      <w:r>
        <w:t xml:space="preserve"> Prüfungsbedingungen.</w:t>
      </w:r>
      <w:r/>
      <w:r/>
    </w:p>
    <w:p>
      <w:pPr>
        <w:pStyle w:val="739"/>
        <w:pBdr/>
        <w:spacing/>
        <w:ind/>
        <w:rPr/>
      </w:pPr>
      <w:r>
        <w:t xml:space="preserve">Sticker zum Beitrag</w:t>
      </w:r>
      <w:r/>
    </w:p>
    <w:p>
      <w:pPr>
        <w:pBdr/>
        <w:spacing/>
        <w:ind/>
        <w:rPr>
          <w:color w:val="000000"/>
          <w:sz w:val="24"/>
          <w:szCs w:val="24"/>
        </w:rPr>
      </w:pPr>
      <w:r/>
      <w:bookmarkStart w:id="0" w:name="_GoBack"/>
      <w:r>
        <w:rPr>
          <w:color w:val="000000"/>
          <w:sz w:val="24"/>
          <w:szCs w:val="24"/>
        </w:rPr>
      </w:r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85577" cy="2139656"/>
                <wp:effectExtent l="0" t="0" r="0" b="0"/>
                <wp:docPr id="2" name="" title="Schloss umgeben von Prüfungen und einem Bu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610447" name="" title="Schloss umgeben von Prüfungen und einem Buch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2685577" cy="2139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11.46pt;height:168.48pt;mso-wrap-distance-left:0.00pt;mso-wrap-distance-top:0.00pt;mso-wrap-distance-right:0.00pt;mso-wrap-distance-bottom:0.00pt;rotation:0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pgNumType w:start="1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jc w:val="center"/>
      <w:rPr/>
    </w:pPr>
    <w:fldSimple w:instr="PAGE \* MERGEFORMAT">
      <w:r>
        <w:t xml:space="preserve">5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styleLink w:val="926"/>
    <w:lvl w:ilvl="0">
      <w:isLgl w:val="false"/>
      <w:lvlJc w:val="left"/>
      <w:lvlText w:val="%1."/>
      <w:numFmt w:val="decimal"/>
      <w:pPr>
        <w:pBdr/>
        <w:spacing/>
        <w:ind w:hanging="360" w:left="1080"/>
      </w:pPr>
      <w:pStyle w:val="926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1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pStyle w:val="920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styleLink w:val="924"/>
    <w:lvl w:ilvl="0">
      <w:isLgl w:val="false"/>
      <w:lvlJc w:val="left"/>
      <w:lvlText w:val=""/>
      <w:numFmt w:val="bullet"/>
      <w:pPr>
        <w:pBdr/>
        <w:spacing/>
        <w:ind w:hanging="360" w:left="360"/>
      </w:pPr>
      <w:pStyle w:val="92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6">
    <w:styleLink w:val="925"/>
    <w:lvl w:ilvl="0">
      <w:isLgl w:val="false"/>
      <w:lvlJc w:val="left"/>
      <w:lvlText w:val="%1)"/>
      <w:numFmt w:val="decimal"/>
      <w:pPr>
        <w:pBdr/>
        <w:spacing/>
        <w:ind w:hanging="360" w:left="360"/>
      </w:pPr>
      <w:pStyle w:val="925"/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37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857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4297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5017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6457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7177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0">
    <w:name w:val="Heading 1 Char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7"/>
    <w:link w:val="759"/>
    <w:uiPriority w:val="10"/>
    <w:pPr>
      <w:pBdr/>
      <w:spacing/>
      <w:ind/>
    </w:pPr>
    <w:rPr>
      <w:sz w:val="48"/>
      <w:szCs w:val="48"/>
    </w:rPr>
  </w:style>
  <w:style w:type="character" w:styleId="730">
    <w:name w:val="Subtitle Char"/>
    <w:basedOn w:val="747"/>
    <w:link w:val="761"/>
    <w:uiPriority w:val="11"/>
    <w:pPr>
      <w:pBdr/>
      <w:spacing/>
      <w:ind/>
    </w:pPr>
    <w:rPr>
      <w:sz w:val="24"/>
      <w:szCs w:val="24"/>
    </w:rPr>
  </w:style>
  <w:style w:type="character" w:styleId="731">
    <w:name w:val="Quote Char"/>
    <w:link w:val="763"/>
    <w:uiPriority w:val="29"/>
    <w:pPr>
      <w:pBdr/>
      <w:spacing/>
      <w:ind/>
    </w:pPr>
    <w:rPr>
      <w:i/>
    </w:rPr>
  </w:style>
  <w:style w:type="character" w:styleId="732">
    <w:name w:val="Intense Quote Char"/>
    <w:link w:val="765"/>
    <w:uiPriority w:val="30"/>
    <w:pPr>
      <w:pBdr/>
      <w:spacing/>
      <w:ind/>
    </w:pPr>
    <w:rPr>
      <w:i/>
    </w:rPr>
  </w:style>
  <w:style w:type="character" w:styleId="733">
    <w:name w:val="Header Char"/>
    <w:basedOn w:val="747"/>
    <w:link w:val="767"/>
    <w:uiPriority w:val="99"/>
    <w:pPr>
      <w:pBdr/>
      <w:spacing/>
      <w:ind/>
    </w:pPr>
  </w:style>
  <w:style w:type="character" w:styleId="734">
    <w:name w:val="Caption Char"/>
    <w:basedOn w:val="771"/>
    <w:link w:val="769"/>
    <w:uiPriority w:val="99"/>
    <w:pPr>
      <w:pBdr/>
      <w:spacing/>
      <w:ind/>
    </w:pPr>
  </w:style>
  <w:style w:type="character" w:styleId="735">
    <w:name w:val="Footnote Text Char"/>
    <w:link w:val="900"/>
    <w:uiPriority w:val="99"/>
    <w:pPr>
      <w:pBdr/>
      <w:spacing/>
      <w:ind/>
    </w:pPr>
    <w:rPr>
      <w:sz w:val="18"/>
    </w:rPr>
  </w:style>
  <w:style w:type="character" w:styleId="736">
    <w:name w:val="Endnote Text Char"/>
    <w:link w:val="903"/>
    <w:uiPriority w:val="99"/>
    <w:pPr>
      <w:pBdr/>
      <w:spacing/>
      <w:ind/>
    </w:pPr>
    <w:rPr>
      <w:sz w:val="20"/>
    </w:rPr>
  </w:style>
  <w:style w:type="paragraph" w:styleId="737" w:default="1">
    <w:name w:val="Normal"/>
    <w:qFormat/>
    <w:pPr>
      <w:pBdr/>
      <w:spacing w:before="200"/>
      <w:ind/>
    </w:pPr>
    <w:rPr>
      <w:sz w:val="24"/>
    </w:rPr>
  </w:style>
  <w:style w:type="paragraph" w:styleId="738">
    <w:name w:val="Heading 1"/>
    <w:basedOn w:val="737"/>
    <w:next w:val="737"/>
    <w:link w:val="750"/>
    <w:uiPriority w:val="9"/>
    <w:qFormat/>
    <w:pPr>
      <w:keepNext w:val="true"/>
      <w:keepLines w:val="true"/>
      <w:pBdr/>
      <w:spacing w:before="480"/>
      <w:ind/>
      <w:outlineLvl w:val="0"/>
    </w:pPr>
    <w:rPr>
      <w:b/>
      <w:sz w:val="40"/>
      <w:szCs w:val="40"/>
    </w:rPr>
  </w:style>
  <w:style w:type="paragraph" w:styleId="739">
    <w:name w:val="Heading 2"/>
    <w:basedOn w:val="737"/>
    <w:next w:val="737"/>
    <w:link w:val="75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b/>
      <w:sz w:val="34"/>
    </w:rPr>
  </w:style>
  <w:style w:type="paragraph" w:styleId="740">
    <w:name w:val="Heading 3"/>
    <w:basedOn w:val="737"/>
    <w:next w:val="737"/>
    <w:link w:val="75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b/>
      <w:sz w:val="30"/>
      <w:szCs w:val="30"/>
    </w:rPr>
  </w:style>
  <w:style w:type="paragraph" w:styleId="741">
    <w:name w:val="Heading 4"/>
    <w:basedOn w:val="737"/>
    <w:next w:val="737"/>
    <w:link w:val="75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b/>
      <w:bCs/>
      <w:sz w:val="26"/>
      <w:szCs w:val="26"/>
    </w:rPr>
  </w:style>
  <w:style w:type="paragraph" w:styleId="742">
    <w:name w:val="Heading 5"/>
    <w:basedOn w:val="737"/>
    <w:next w:val="737"/>
    <w:link w:val="75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b/>
      <w:bCs/>
      <w:sz w:val="24"/>
      <w:szCs w:val="24"/>
    </w:rPr>
  </w:style>
  <w:style w:type="paragraph" w:styleId="743">
    <w:name w:val="Heading 6"/>
    <w:basedOn w:val="737"/>
    <w:next w:val="737"/>
    <w:link w:val="75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b/>
      <w:bCs/>
      <w:sz w:val="22"/>
    </w:rPr>
  </w:style>
  <w:style w:type="paragraph" w:styleId="744">
    <w:name w:val="Heading 7"/>
    <w:basedOn w:val="737"/>
    <w:next w:val="737"/>
    <w:link w:val="75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b/>
      <w:bCs/>
      <w:i/>
      <w:iCs/>
      <w:sz w:val="22"/>
    </w:rPr>
  </w:style>
  <w:style w:type="paragraph" w:styleId="745">
    <w:name w:val="Heading 8"/>
    <w:basedOn w:val="737"/>
    <w:next w:val="737"/>
    <w:link w:val="75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i/>
      <w:iCs/>
      <w:sz w:val="22"/>
    </w:rPr>
  </w:style>
  <w:style w:type="paragraph" w:styleId="746">
    <w:name w:val="Heading 9"/>
    <w:basedOn w:val="737"/>
    <w:next w:val="737"/>
    <w:link w:val="75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i/>
      <w:iCs/>
      <w:sz w:val="21"/>
      <w:szCs w:val="21"/>
    </w:rPr>
  </w:style>
  <w:style w:type="character" w:styleId="747" w:default="1">
    <w:name w:val="Default Paragraph Font"/>
    <w:uiPriority w:val="1"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Überschrift 1 Zchn"/>
    <w:link w:val="738"/>
    <w:uiPriority w:val="9"/>
    <w:pPr>
      <w:pBdr/>
      <w:spacing/>
      <w:ind/>
    </w:pPr>
    <w:rPr>
      <w:b/>
      <w:sz w:val="40"/>
      <w:szCs w:val="40"/>
    </w:rPr>
  </w:style>
  <w:style w:type="character" w:styleId="751" w:customStyle="1">
    <w:name w:val="Überschrift 2 Zchn"/>
    <w:link w:val="739"/>
    <w:uiPriority w:val="9"/>
    <w:pPr>
      <w:pBdr/>
      <w:spacing/>
      <w:ind/>
    </w:pPr>
    <w:rPr>
      <w:b/>
      <w:sz w:val="34"/>
    </w:rPr>
  </w:style>
  <w:style w:type="character" w:styleId="752" w:customStyle="1">
    <w:name w:val="Überschrift 3 Zchn"/>
    <w:link w:val="740"/>
    <w:uiPriority w:val="9"/>
    <w:pPr>
      <w:pBdr/>
      <w:spacing/>
      <w:ind/>
    </w:pPr>
    <w:rPr>
      <w:b/>
      <w:sz w:val="30"/>
      <w:szCs w:val="30"/>
    </w:rPr>
  </w:style>
  <w:style w:type="character" w:styleId="753" w:customStyle="1">
    <w:name w:val="Überschrift 4 Zchn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Überschrift 5 Zchn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Überschrift 6 Zchn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Überschrift 7 Zchn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Überschrift 8 Zchn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Überschrift 9 Zchn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37"/>
    <w:next w:val="737"/>
    <w:link w:val="76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0" w:customStyle="1">
    <w:name w:val="Titel Zchn"/>
    <w:link w:val="759"/>
    <w:uiPriority w:val="10"/>
    <w:pPr>
      <w:pBdr/>
      <w:spacing/>
      <w:ind/>
    </w:pPr>
    <w:rPr>
      <w:sz w:val="48"/>
      <w:szCs w:val="48"/>
    </w:rPr>
  </w:style>
  <w:style w:type="paragraph" w:styleId="761">
    <w:name w:val="Subtitle"/>
    <w:basedOn w:val="737"/>
    <w:next w:val="737"/>
    <w:link w:val="762"/>
    <w:uiPriority w:val="11"/>
    <w:qFormat/>
    <w:pPr>
      <w:pBdr/>
      <w:spacing/>
      <w:ind/>
    </w:pPr>
    <w:rPr>
      <w:sz w:val="24"/>
      <w:szCs w:val="24"/>
    </w:rPr>
  </w:style>
  <w:style w:type="character" w:styleId="762" w:customStyle="1">
    <w:name w:val="Untertitel Zchn"/>
    <w:link w:val="761"/>
    <w:uiPriority w:val="11"/>
    <w:pPr>
      <w:pBdr/>
      <w:spacing/>
      <w:ind/>
    </w:pPr>
    <w:rPr>
      <w:sz w:val="24"/>
      <w:szCs w:val="24"/>
    </w:rPr>
  </w:style>
  <w:style w:type="paragraph" w:styleId="763">
    <w:name w:val="Quote"/>
    <w:basedOn w:val="737"/>
    <w:next w:val="737"/>
    <w:link w:val="764"/>
    <w:uiPriority w:val="29"/>
    <w:qFormat/>
    <w:pPr>
      <w:pBdr/>
      <w:spacing w:after="240" w:before="240"/>
      <w:ind w:right="720"/>
    </w:pPr>
    <w:rPr>
      <w:b/>
      <w:i/>
      <w:sz w:val="28"/>
    </w:rPr>
  </w:style>
  <w:style w:type="character" w:styleId="764" w:customStyle="1">
    <w:name w:val="Zitat Zchn"/>
    <w:link w:val="763"/>
    <w:uiPriority w:val="29"/>
    <w:pPr>
      <w:pBdr/>
      <w:spacing/>
      <w:ind/>
    </w:pPr>
    <w:rPr>
      <w:b/>
      <w:i/>
      <w:sz w:val="28"/>
    </w:rPr>
  </w:style>
  <w:style w:type="paragraph" w:styleId="765">
    <w:name w:val="Intense Quote"/>
    <w:basedOn w:val="737"/>
    <w:next w:val="737"/>
    <w:link w:val="7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766" w:customStyle="1">
    <w:name w:val="Intensives Zitat Zchn"/>
    <w:link w:val="765"/>
    <w:uiPriority w:val="30"/>
    <w:pPr>
      <w:pBdr/>
      <w:spacing/>
      <w:ind/>
    </w:pPr>
    <w:rPr>
      <w:i/>
    </w:rPr>
  </w:style>
  <w:style w:type="paragraph" w:styleId="767">
    <w:name w:val="Header"/>
    <w:basedOn w:val="737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 w:customStyle="1">
    <w:name w:val="Kopfzeile Zchn"/>
    <w:link w:val="767"/>
    <w:uiPriority w:val="99"/>
    <w:pPr>
      <w:pBdr/>
      <w:spacing/>
      <w:ind/>
    </w:pPr>
  </w:style>
  <w:style w:type="paragraph" w:styleId="769">
    <w:name w:val="Footer"/>
    <w:basedOn w:val="737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 w:customStyle="1">
    <w:name w:val="Footer Char"/>
    <w:uiPriority w:val="99"/>
    <w:pPr>
      <w:pBdr/>
      <w:spacing/>
      <w:ind/>
    </w:pPr>
  </w:style>
  <w:style w:type="paragraph" w:styleId="771">
    <w:name w:val="Caption"/>
    <w:basedOn w:val="737"/>
    <w:next w:val="737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2" w:customStyle="1">
    <w:name w:val="Fußzeile Zchn"/>
    <w:link w:val="769"/>
    <w:uiPriority w:val="99"/>
    <w:pPr>
      <w:pBdr/>
      <w:spacing/>
      <w:ind/>
    </w:pPr>
  </w:style>
  <w:style w:type="table" w:styleId="773">
    <w:name w:val="Table Grid"/>
    <w:basedOn w:val="74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Table Grid Light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4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val="de-AT"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0">
    <w:name w:val="footnote text"/>
    <w:basedOn w:val="737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 w:customStyle="1">
    <w:name w:val="Fußnotentext Zchn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737"/>
    <w:link w:val="9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4" w:customStyle="1">
    <w:name w:val="Endnotentext Zchn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737"/>
    <w:next w:val="737"/>
    <w:uiPriority w:val="39"/>
    <w:unhideWhenUsed/>
    <w:pPr>
      <w:pBdr/>
      <w:spacing w:after="57"/>
      <w:ind/>
    </w:pPr>
  </w:style>
  <w:style w:type="paragraph" w:styleId="907">
    <w:name w:val="toc 2"/>
    <w:basedOn w:val="737"/>
    <w:next w:val="737"/>
    <w:uiPriority w:val="39"/>
    <w:unhideWhenUsed/>
    <w:pPr>
      <w:pBdr/>
      <w:spacing w:after="57"/>
      <w:ind w:left="283"/>
    </w:pPr>
  </w:style>
  <w:style w:type="paragraph" w:styleId="908">
    <w:name w:val="toc 3"/>
    <w:basedOn w:val="737"/>
    <w:next w:val="737"/>
    <w:uiPriority w:val="39"/>
    <w:unhideWhenUsed/>
    <w:pPr>
      <w:pBdr/>
      <w:spacing w:after="57"/>
      <w:ind w:left="567"/>
    </w:pPr>
  </w:style>
  <w:style w:type="paragraph" w:styleId="909">
    <w:name w:val="toc 4"/>
    <w:basedOn w:val="737"/>
    <w:next w:val="737"/>
    <w:uiPriority w:val="39"/>
    <w:unhideWhenUsed/>
    <w:pPr>
      <w:pBdr/>
      <w:spacing w:after="57"/>
      <w:ind w:left="850"/>
    </w:pPr>
  </w:style>
  <w:style w:type="paragraph" w:styleId="910">
    <w:name w:val="toc 5"/>
    <w:basedOn w:val="737"/>
    <w:next w:val="737"/>
    <w:uiPriority w:val="39"/>
    <w:unhideWhenUsed/>
    <w:pPr>
      <w:pBdr/>
      <w:spacing w:after="57"/>
      <w:ind w:left="1134"/>
    </w:pPr>
  </w:style>
  <w:style w:type="paragraph" w:styleId="911">
    <w:name w:val="toc 6"/>
    <w:basedOn w:val="737"/>
    <w:next w:val="737"/>
    <w:uiPriority w:val="39"/>
    <w:unhideWhenUsed/>
    <w:pPr>
      <w:pBdr/>
      <w:spacing w:after="57"/>
      <w:ind w:left="1417"/>
    </w:pPr>
  </w:style>
  <w:style w:type="paragraph" w:styleId="912">
    <w:name w:val="toc 7"/>
    <w:basedOn w:val="737"/>
    <w:next w:val="737"/>
    <w:uiPriority w:val="39"/>
    <w:unhideWhenUsed/>
    <w:pPr>
      <w:pBdr/>
      <w:spacing w:after="57"/>
      <w:ind w:left="1701"/>
    </w:pPr>
  </w:style>
  <w:style w:type="paragraph" w:styleId="913">
    <w:name w:val="toc 8"/>
    <w:basedOn w:val="737"/>
    <w:next w:val="737"/>
    <w:uiPriority w:val="39"/>
    <w:unhideWhenUsed/>
    <w:pPr>
      <w:pBdr/>
      <w:spacing w:after="57"/>
      <w:ind w:left="1984"/>
    </w:pPr>
  </w:style>
  <w:style w:type="paragraph" w:styleId="914">
    <w:name w:val="toc 9"/>
    <w:basedOn w:val="737"/>
    <w:next w:val="737"/>
    <w:uiPriority w:val="39"/>
    <w:unhideWhenUsed/>
    <w:pPr>
      <w:pBdr/>
      <w:spacing w:after="57"/>
      <w:ind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737"/>
    <w:next w:val="737"/>
    <w:uiPriority w:val="99"/>
    <w:unhideWhenUsed/>
    <w:pPr>
      <w:pBdr/>
      <w:spacing w:after="0"/>
      <w:ind/>
    </w:pPr>
  </w:style>
  <w:style w:type="paragraph" w:styleId="917">
    <w:name w:val="No Spacing"/>
    <w:basedOn w:val="737"/>
    <w:uiPriority w:val="1"/>
    <w:qFormat/>
    <w:pPr>
      <w:pBdr/>
      <w:spacing w:after="0" w:line="240" w:lineRule="auto"/>
      <w:ind/>
    </w:pPr>
  </w:style>
  <w:style w:type="paragraph" w:styleId="918">
    <w:name w:val="List Paragraph"/>
    <w:basedOn w:val="737"/>
    <w:uiPriority w:val="34"/>
    <w:qFormat/>
    <w:pPr>
      <w:numPr>
        <w:ilvl w:val="0"/>
        <w:numId w:val="1"/>
      </w:numPr>
      <w:pBdr/>
      <w:spacing/>
      <w:ind w:hanging="357" w:left="1077"/>
      <w:contextualSpacing w:val="true"/>
    </w:pPr>
  </w:style>
  <w:style w:type="character" w:styleId="919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0" w:customStyle="1">
    <w:name w:val="Nummerierung"/>
    <w:basedOn w:val="918"/>
    <w:qFormat/>
    <w:pPr>
      <w:numPr>
        <w:ilvl w:val="0"/>
        <w:numId w:val="4"/>
      </w:numPr>
      <w:pBdr/>
      <w:spacing/>
      <w:ind/>
    </w:pPr>
  </w:style>
  <w:style w:type="character" w:styleId="921">
    <w:name w:val="Unresolved Mention"/>
    <w:basedOn w:val="74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2">
    <w:name w:val="Balloon Text"/>
    <w:basedOn w:val="737"/>
    <w:link w:val="923"/>
    <w:uiPriority w:val="99"/>
    <w:semiHidden/>
    <w:unhideWhenUsed/>
    <w:pPr>
      <w:pBdr/>
      <w:spacing w:after="0" w:line="240" w:lineRule="auto"/>
      <w:ind/>
    </w:pPr>
    <w:rPr>
      <w:rFonts w:ascii="Times New Roman" w:hAnsi="Times New Roman" w:cs="Times New Roman"/>
      <w:sz w:val="18"/>
      <w:szCs w:val="18"/>
    </w:rPr>
  </w:style>
  <w:style w:type="character" w:styleId="923" w:customStyle="1">
    <w:name w:val="Sprechblasentext Zchn"/>
    <w:basedOn w:val="747"/>
    <w:link w:val="922"/>
    <w:uiPriority w:val="99"/>
    <w:semiHidden/>
    <w:pPr>
      <w:pBdr/>
      <w:spacing/>
      <w:ind/>
    </w:pPr>
    <w:rPr>
      <w:rFonts w:ascii="Times New Roman" w:hAnsi="Times New Roman" w:cs="Times New Roman"/>
      <w:sz w:val="18"/>
      <w:szCs w:val="18"/>
    </w:rPr>
  </w:style>
  <w:style w:type="numbering" w:styleId="924" w:customStyle="1">
    <w:name w:val="Formatvorlage1"/>
    <w:basedOn w:val="749"/>
    <w:uiPriority w:val="99"/>
    <w:pPr>
      <w:numPr>
        <w:ilvl w:val="0"/>
        <w:numId w:val="5"/>
      </w:numPr>
      <w:pBdr/>
      <w:spacing/>
      <w:ind/>
    </w:pPr>
  </w:style>
  <w:style w:type="numbering" w:styleId="925" w:customStyle="1">
    <w:name w:val="Liste_nummer"/>
    <w:basedOn w:val="749"/>
    <w:uiPriority w:val="99"/>
    <w:pPr>
      <w:numPr>
        <w:ilvl w:val="0"/>
        <w:numId w:val="6"/>
      </w:numPr>
      <w:pBdr/>
      <w:spacing/>
      <w:ind/>
    </w:pPr>
  </w:style>
  <w:style w:type="numbering" w:styleId="926" w:customStyle="1">
    <w:name w:val="NummerierungNeu"/>
    <w:basedOn w:val="749"/>
    <w:uiPriority w:val="99"/>
    <w:pPr>
      <w:numPr>
        <w:ilvl w:val="0"/>
        <w:numId w:val="7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creativecommons.org/licenses/by/4.0/deed.de" TargetMode="External"/><Relationship Id="rId11" Type="http://schemas.openxmlformats.org/officeDocument/2006/relationships/hyperlink" Target="https://telucation.tugraz.at/09-ki-in-der-lehre/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telucation.tugraz.at/10-ki-in-der-lehre/" TargetMode="External"/><Relationship Id="rId14" Type="http://schemas.openxmlformats.org/officeDocument/2006/relationships/hyperlink" Target="https://telucation.tugraz.at/pruefungen-mit-gradescope/" TargetMode="External"/><Relationship Id="rId15" Type="http://schemas.openxmlformats.org/officeDocument/2006/relationships/hyperlink" Target="https://telucation.tugraz.at/11-best-practice-exam-printer/" TargetMode="External"/><Relationship Id="rId16" Type="http://schemas.openxmlformats.org/officeDocument/2006/relationships/hyperlink" Target="https://telucation.tugraz.at/safe-exam-browser/" TargetMode="External"/><Relationship Id="rId17" Type="http://schemas.openxmlformats.org/officeDocument/2006/relationships/hyperlink" Target="https://tu4u.tugraz.at/bedienstete/lehre/lehrveranstaltungen/lehrsaele-mit-it-infrastruktur/standorte-und-nutzungsmoeglichkeiten" TargetMode="External"/><Relationship Id="rId18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Didaktik #11 Prüfen in Zeiten von KI: Absicherung</dc:title>
  <dc:subject/>
  <dc:creator>Benedikt Brünner</dc:creator>
  <cp:keywords/>
  <dc:description/>
  <cp:lastModifiedBy>Edelsbrunner, Sarah (sarah.edelsbrunner@tugraz.at)</cp:lastModifiedBy>
  <cp:revision>36</cp:revision>
  <dcterms:created xsi:type="dcterms:W3CDTF">2021-06-14T13:51:00Z</dcterms:created>
  <dcterms:modified xsi:type="dcterms:W3CDTF">2024-08-13T13:07:07Z</dcterms:modified>
</cp:coreProperties>
</file>