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80"/>
        <w:suppressLineNumbers w:val="false"/>
        <w:pBdr/>
        <w:spacing w:after="200" w:before="200"/>
        <w:ind/>
        <w:contextualSpacing w:val="false"/>
        <w:jc w:val="left"/>
        <w:rPr/>
      </w:pPr>
      <w:r>
        <w:t xml:space="preserve">Didaktik </w:t>
      </w:r>
      <w:r>
        <w:t xml:space="preserve">#12:</w:t>
      </w:r>
      <w:r>
        <w:t xml:space="preserve"> </w:t>
      </w:r>
      <w:r>
        <w:rPr>
          <w:lang w:val="en-GB"/>
        </w:rPr>
        <w:t xml:space="preserve">MOOCs in der eigenen Lehre verwenden - 8 Einsatzszenarien</w:t>
      </w:r>
      <w:r/>
    </w:p>
    <w:tbl>
      <w:tblPr>
        <w:tblStyle w:val="817"/>
        <w:tblW w:w="0" w:type="auto"/>
        <w:tblBorders/>
        <w:tblLook w:val="0480" w:firstRow="0" w:lastRow="0" w:firstColumn="1" w:lastColumn="0" w:noHBand="0" w:noVBand="1"/>
      </w:tblPr>
      <w:tblGrid>
        <w:gridCol w:w="4673"/>
        <w:gridCol w:w="4672"/>
      </w:tblGrid>
      <w:tr>
        <w:trPr/>
        <w:tc>
          <w:tcPr>
            <w:tcBorders/>
            <w:tcW w:w="4673" w:type="dxa"/>
            <w:textDirection w:val="lrTb"/>
            <w:noWrap w:val="false"/>
          </w:tcPr>
          <w:p>
            <w:pPr>
              <w:suppressLineNumbers w:val="false"/>
              <w:pBdr/>
              <w:spacing w:after="200" w:before="200" w:line="276" w:lineRule="auto"/>
              <w:ind/>
              <w:contextualSpacing w:val="false"/>
              <w:jc w:val="left"/>
              <w:rPr>
                <w:bCs/>
                <w:color w:val="000000"/>
              </w:rPr>
            </w:pPr>
            <w:r>
              <w:rPr>
                <w:bCs/>
                <w:color w:val="000000" w:themeColor="text1"/>
              </w:rPr>
              <w:t xml:space="preserve">Autor</w:t>
            </w:r>
            <w:r>
              <w:rPr>
                <w:bCs/>
                <w:color w:val="000000" w:themeColor="text1"/>
              </w:rPr>
              <w:t xml:space="preserve">:innen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Borders/>
            <w:tcW w:w="4672" w:type="dxa"/>
            <w:textDirection w:val="lrTb"/>
            <w:noWrap w:val="false"/>
          </w:tcPr>
          <w:p>
            <w:pPr>
              <w:suppressLineNumbers w:val="false"/>
              <w:pBdr/>
              <w:spacing w:after="200" w:before="200"/>
              <w:ind/>
              <w:contextualSpacing w:val="false"/>
              <w:jc w:val="left"/>
              <w:rPr>
                <w:color w:val="000000"/>
              </w:rPr>
            </w:pPr>
            <w:r>
              <w:rPr>
                <w:color w:val="000000" w:themeColor="text1"/>
              </w:rPr>
              <w:t xml:space="preserve">TU Graz Lehr- und Lerntechnologien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4673" w:type="dxa"/>
            <w:textDirection w:val="lrTb"/>
            <w:noWrap w:val="false"/>
          </w:tcPr>
          <w:p>
            <w:pPr>
              <w:suppressLineNumbers w:val="false"/>
              <w:pBdr/>
              <w:spacing w:after="200" w:before="200" w:line="276" w:lineRule="auto"/>
              <w:ind/>
              <w:contextualSpacing w:val="false"/>
              <w:jc w:val="left"/>
              <w:rPr>
                <w:bCs/>
                <w:color w:val="000000"/>
              </w:rPr>
            </w:pPr>
            <w:r>
              <w:rPr>
                <w:bCs/>
                <w:color w:val="000000" w:themeColor="text1"/>
              </w:rPr>
              <w:t xml:space="preserve">Veröffentlichung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Borders/>
            <w:tcW w:w="4672" w:type="dxa"/>
            <w:textDirection w:val="lrTb"/>
            <w:noWrap w:val="false"/>
          </w:tcPr>
          <w:p>
            <w:pPr>
              <w:suppressLineNumbers w:val="false"/>
              <w:pBdr/>
              <w:spacing w:after="200" w:before="200" w:line="276" w:lineRule="auto"/>
              <w:ind/>
              <w:contextualSpacing w:val="false"/>
              <w:jc w:val="left"/>
              <w:rPr>
                <w:color w:val="000000"/>
              </w:rPr>
            </w:pPr>
            <w:r>
              <w:rPr>
                <w:color w:val="000000" w:themeColor="text1"/>
              </w:rPr>
              <w:t xml:space="preserve">Januar 2025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rPr/>
        <w:tc>
          <w:tcPr>
            <w:tcBorders/>
            <w:tcW w:w="4673" w:type="dxa"/>
            <w:textDirection w:val="lrTb"/>
            <w:noWrap w:val="false"/>
          </w:tcPr>
          <w:p>
            <w:pPr>
              <w:suppressLineNumbers w:val="false"/>
              <w:pBdr/>
              <w:spacing w:after="200" w:before="200" w:line="276" w:lineRule="auto"/>
              <w:ind/>
              <w:contextualSpacing w:val="false"/>
              <w:jc w:val="left"/>
              <w:rPr>
                <w:bCs/>
                <w:color w:val="000000"/>
              </w:rPr>
            </w:pPr>
            <w:r>
              <w:rPr>
                <w:bCs/>
                <w:color w:val="000000" w:themeColor="text1"/>
              </w:rPr>
              <w:t xml:space="preserve">Lizenz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Borders/>
            <w:tcW w:w="4672" w:type="dxa"/>
            <w:textDirection w:val="lrTb"/>
            <w:noWrap w:val="false"/>
          </w:tcPr>
          <w:p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200" w:before="200" w:line="276" w:lineRule="auto"/>
              <w:ind/>
              <w:contextualSpacing w:val="false"/>
              <w:jc w:val="left"/>
              <w:rPr>
                <w:color w:val="000000"/>
              </w:rPr>
            </w:pPr>
            <w:r>
              <w:rPr>
                <w:color w:val="000000" w:themeColor="text1"/>
              </w:rPr>
              <w:t xml:space="preserve">Lizenziert unter der </w:t>
            </w:r>
            <w:hyperlink r:id="rId10" w:tooltip="CC BY 4.0" w:history="1">
              <w:r>
                <w:rPr>
                  <w:rStyle w:val="941"/>
                </w:rPr>
                <w:t xml:space="preserve">Creative-Commons-Lizenz CC BY 4.0 International</w:t>
              </w:r>
            </w:hyperlink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781"/>
        <w:suppressLineNumbers w:val="false"/>
        <w:pBdr/>
        <w:spacing/>
        <w:ind/>
        <w:rPr>
          <w:highlight w:val="none"/>
        </w:rPr>
      </w:pPr>
      <w:r>
        <w:rPr>
          <w:highlight w:val="none"/>
          <w14:ligatures w14:val="none"/>
        </w:rPr>
        <w:t xml:space="preserve">Was sind die Vorteile, MOOCs in der Lehre zu </w:t>
      </w:r>
      <w:r>
        <w:rPr>
          <w:highlight w:val="none"/>
          <w14:ligatures w14:val="none"/>
        </w:rPr>
        <w:t xml:space="preserve">nutzen?</w:t>
      </w:r>
      <w:r>
        <w:rPr>
          <w:highlight w:val="none"/>
        </w:rPr>
      </w:r>
      <w:r>
        <w:rPr>
          <w:highlight w:val="none"/>
        </w:rPr>
      </w:r>
    </w:p>
    <w:p>
      <w:pPr>
        <w:suppressLineNumbers w:val="false"/>
        <w:pBdr/>
        <w:spacing w:after="200" w:before="200"/>
        <w:ind/>
        <w:contextualSpacing w:val="false"/>
        <w:jc w:val="left"/>
        <w:rPr/>
      </w:pPr>
      <w:r>
        <w:rPr>
          <w:highlight w:val="none"/>
          <w14:ligatures w14:val="none"/>
        </w:rPr>
        <w:t xml:space="preserve">Ein wesentlicher Vorteil, MOOCs (Massive Open Online Courses) in der </w:t>
      </w:r>
      <w:r>
        <w:rPr>
          <w:highlight w:val="none"/>
          <w14:ligatures w14:val="none"/>
        </w:rPr>
        <w:t xml:space="preserve">Hochschullehre zu nutzen, ist die Zeitersparnis: Lehrende müssen nicht völlig </w:t>
      </w:r>
      <w:r>
        <w:rPr>
          <w:highlight w:val="none"/>
          <w14:ligatures w14:val="none"/>
        </w:rPr>
        <w:t xml:space="preserve">neue Inhalte erstellen, sondern können Inhalte bestehender MOOCs nutzen, </w:t>
      </w:r>
      <w:r>
        <w:rPr>
          <w:highlight w:val="none"/>
          <w14:ligatures w14:val="none"/>
        </w:rPr>
        <w:t xml:space="preserve">die als Open Educational Resources (OER) mit Creative Commons-Lizenzen </w:t>
      </w:r>
      <w:r>
        <w:rPr>
          <w:highlight w:val="none"/>
          <w14:ligatures w14:val="none"/>
        </w:rPr>
        <w:t xml:space="preserve">angeboten werden.</w:t>
      </w:r>
      <w:r>
        <w:rPr>
          <w:highlight w:val="none"/>
          <w14:ligatures w14:val="none"/>
        </w:rPr>
      </w:r>
      <w:r/>
    </w:p>
    <w:p>
      <w:pPr>
        <w:suppressLineNumbers w:val="false"/>
        <w:pBdr/>
        <w:spacing w:after="200" w:before="200"/>
        <w:ind/>
        <w:contextualSpacing w:val="false"/>
        <w:jc w:val="left"/>
        <w:rPr/>
      </w:pPr>
      <w:r>
        <w:rPr>
          <w:highlight w:val="none"/>
          <w14:ligatures w14:val="none"/>
        </w:rPr>
        <w:t xml:space="preserve">Die gewonnene Zeit lässt sich für die persönliche Betreuung der Studierenden </w:t>
      </w:r>
      <w:r>
        <w:rPr>
          <w:highlight w:val="none"/>
          <w14:ligatures w14:val="none"/>
        </w:rPr>
        <w:t xml:space="preserve">oder für die Vertiefung einzelner Themen einsetzen.</w:t>
      </w:r>
      <w:r>
        <w:rPr>
          <w:highlight w:val="none"/>
          <w14:ligatures w14:val="none"/>
        </w:rPr>
      </w:r>
      <w:r/>
    </w:p>
    <w:p>
      <w:pPr>
        <w:suppressLineNumbers w:val="false"/>
        <w:pBdr/>
        <w:spacing w:after="200" w:before="200"/>
        <w:ind/>
        <w:contextualSpacing w:val="false"/>
        <w:jc w:val="left"/>
        <w:rPr/>
      </w:pPr>
      <w:r>
        <w:rPr>
          <w:highlight w:val="none"/>
          <w14:ligatures w14:val="none"/>
        </w:rPr>
        <w:t xml:space="preserve">Durch das Absolvieren eines MOOCs können zum Beispiel alle Studierenden zu </w:t>
      </w:r>
      <w:r>
        <w:rPr>
          <w:highlight w:val="none"/>
          <w14:ligatures w14:val="none"/>
        </w:rPr>
        <w:t xml:space="preserve">Beginn der Lehrveranstaltung auf denselben Wissensstand gebracht werden.</w:t>
      </w:r>
      <w:r>
        <w:rPr>
          <w:highlight w:val="none"/>
          <w14:ligatures w14:val="none"/>
        </w:rPr>
      </w:r>
      <w:r/>
    </w:p>
    <w:p>
      <w:pPr>
        <w:suppressLineNumbers w:val="false"/>
        <w:pBdr/>
        <w:spacing w:after="200" w:before="200"/>
        <w:ind/>
        <w:contextualSpacing w:val="false"/>
        <w:jc w:val="left"/>
        <w:rPr/>
      </w:pPr>
      <w:r>
        <w:rPr>
          <w:highlight w:val="none"/>
          <w14:ligatures w14:val="none"/>
        </w:rPr>
        <w:t xml:space="preserve">Durch MOOCs ist es aber auch möglich, Expert:innen zu Wort kommen zu </w:t>
      </w:r>
      <w:r>
        <w:rPr>
          <w:highlight w:val="none"/>
          <w14:ligatures w14:val="none"/>
        </w:rPr>
        <w:t xml:space="preserve">lassen und Themen in die eigene Lehre zu integrieren, in denen man selbst </w:t>
      </w:r>
      <w:r>
        <w:rPr>
          <w:highlight w:val="none"/>
          <w14:ligatures w14:val="none"/>
        </w:rPr>
        <w:t xml:space="preserve">kein:e Expert:in ist.</w:t>
      </w:r>
      <w:r>
        <w:rPr>
          <w:highlight w:val="none"/>
          <w14:ligatures w14:val="none"/>
        </w:rPr>
      </w:r>
      <w:r/>
    </w:p>
    <w:p>
      <w:pPr>
        <w:suppressLineNumbers w:val="false"/>
        <w:pBdr/>
        <w:spacing w:after="200" w:before="200"/>
        <w:ind/>
        <w:contextualSpacing w:val="false"/>
        <w:jc w:val="left"/>
        <w:rPr>
          <w:highlight w:val="none"/>
        </w:rPr>
      </w:pPr>
      <w:r>
        <w:rPr>
          <w:highlight w:val="none"/>
          <w14:ligatures w14:val="none"/>
        </w:rPr>
        <w:t xml:space="preserve">Ein weiterer Pluspunkt ist die Förderung des selbstgesteuerten Lernens: </w:t>
      </w:r>
      <w:r>
        <w:rPr>
          <w:highlight w:val="none"/>
          <w14:ligatures w14:val="none"/>
        </w:rPr>
        <w:t xml:space="preserve">Studierende können mit einem MOOC in ihrem eigenen Tempo und nach </w:t>
      </w:r>
      <w:r>
        <w:rPr>
          <w:highlight w:val="none"/>
          <w14:ligatures w14:val="none"/>
        </w:rPr>
        <w:t xml:space="preserve">ihren individuellen Bedürfnissen lernen.</w:t>
      </w:r>
      <w:r>
        <w:rPr>
          <w:highlight w:val="none"/>
        </w:rPr>
      </w:r>
      <w:r>
        <w:rPr>
          <w:highlight w:val="none"/>
        </w:rPr>
      </w:r>
    </w:p>
    <w:p>
      <w:pPr>
        <w:suppressLineNumbers w:val="false"/>
        <w:pBdr/>
        <w:spacing w:after="200" w:before="200"/>
        <w:ind/>
        <w:contextualSpacing w:val="false"/>
        <w:jc w:val="left"/>
        <w:rPr>
          <w:highlight w:val="none"/>
        </w:rPr>
      </w:pPr>
      <w:r>
        <w:rPr>
          <w:highlight w:val="none"/>
          <w14:ligatures w14:val="none"/>
        </w:rPr>
        <w:t xml:space="preserve">Kostenlose und offen lizenzierte MOOCs </w:t>
      </w:r>
      <w:r>
        <w:rPr>
          <w:highlight w:val="none"/>
          <w14:ligatures w14:val="none"/>
        </w:rPr>
        <w:t xml:space="preserve">finden Sie auf der Plattform iMooX.at, </w:t>
      </w:r>
      <w:r>
        <w:rPr>
          <w:highlight w:val="none"/>
          <w14:ligatures w14:val="none"/>
        </w:rPr>
        <w:t xml:space="preserve">gehostet von der TU Graz.</w:t>
      </w:r>
      <w:r>
        <w:rPr>
          <w:highlight w:val="none"/>
        </w:rPr>
      </w:r>
      <w:r>
        <w:rPr>
          <w:highlight w:val="none"/>
        </w:rPr>
      </w:r>
    </w:p>
    <w:p>
      <w:pPr>
        <w:suppressLineNumbers w:val="false"/>
        <w:pBdr/>
        <w:spacing w:after="200" w:before="200"/>
        <w:ind/>
        <w:contextualSpacing w:val="false"/>
        <w:jc w:val="left"/>
        <w:rPr/>
      </w:pPr>
      <w:r>
        <w:rPr>
          <w:highlight w:val="none"/>
          <w14:ligatures w14:val="none"/>
        </w:rPr>
        <w:t xml:space="preserve">Weitere Informationen </w:t>
      </w:r>
      <w:r>
        <w:rPr>
          <w:highlight w:val="none"/>
          <w14:ligatures w14:val="none"/>
        </w:rPr>
        <w:t xml:space="preserve">über MOOCs auf iMooX.at </w:t>
      </w:r>
      <w:r>
        <w:rPr>
          <w:highlight w:val="none"/>
          <w14:ligatures w14:val="none"/>
        </w:rPr>
        <w:t xml:space="preserve">finden Sie auch in der </w:t>
      </w:r>
      <w:r>
        <w:rPr>
          <w:highlight w:val="none"/>
          <w14:ligatures w14:val="none"/>
        </w:rPr>
        <w:t xml:space="preserve">Rubrik Hochschule im </w:t>
      </w:r>
      <w:hyperlink r:id="rId11" w:tooltip="https://telucation.tugraz.at/06-imoox-at/" w:history="1">
        <w:r>
          <w:rPr>
            <w:rStyle w:val="941"/>
            <w:highlight w:val="none"/>
            <w14:ligatures w14:val="none"/>
          </w:rPr>
        </w:r>
        <w:r>
          <w:rPr>
            <w:rStyle w:val="941"/>
          </w:rPr>
        </w:r>
        <w:r>
          <w:rPr>
            <w:rStyle w:val="941"/>
            <w:highlight w:val="none"/>
            <w14:ligatures w14:val="none"/>
          </w:rPr>
        </w:r>
        <w:r>
          <w:rPr>
            <w:rStyle w:val="941"/>
            <w:highlight w:val="none"/>
            <w14:ligatures w14:val="none"/>
          </w:rPr>
          <w:t xml:space="preserve">Beitrag: #06 iMooX.at</w:t>
        </w:r>
      </w:hyperlink>
      <w:r>
        <w:rPr>
          <w:highlight w:val="none"/>
          <w14:ligatures w14:val="none"/>
        </w:rPr>
      </w:r>
      <w:r/>
    </w:p>
    <w:p>
      <w:pPr>
        <w:pStyle w:val="781"/>
        <w:pBdr/>
        <w:spacing/>
        <w:ind/>
        <w:rPr>
          <w14:ligatures w14:val="none"/>
        </w:rPr>
      </w:pPr>
      <w:r>
        <w:t xml:space="preserve">Hilfreiche Tipps für den Einsatz von MOOCs in der Lehre</w:t>
      </w:r>
      <w:r>
        <w:rPr>
          <w14:ligatures w14:val="none"/>
        </w:rPr>
      </w:r>
      <w:r>
        <w:rPr>
          <w14:ligatures w14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/>
      </w:pPr>
      <w:r>
        <w:rPr>
          <w:rFonts w:ascii="Arial" w:hAnsi="Arial" w:eastAsia="Arial" w:cs="Arial"/>
          <w:color w:val="000000"/>
          <w:sz w:val="24"/>
        </w:rPr>
        <w:t xml:space="preserve">An der TU Graz ist es möglich, Kontaktstunden virtuell </w:t>
      </w:r>
      <w:r>
        <w:rPr>
          <w:rFonts w:ascii="Arial" w:hAnsi="Arial" w:eastAsia="Arial" w:cs="Arial"/>
          <w:color w:val="000000"/>
          <w:sz w:val="24"/>
        </w:rPr>
        <w:t xml:space="preserve">abzuhalten oder (mit Genehmigung) Kontaktstunden </w:t>
      </w:r>
      <w:r>
        <w:rPr>
          <w:rFonts w:ascii="Arial" w:hAnsi="Arial" w:eastAsia="Arial" w:cs="Arial"/>
          <w:color w:val="000000"/>
          <w:sz w:val="24"/>
        </w:rPr>
        <w:t xml:space="preserve">durch einen MOOC zu ersetzen.</w:t>
      </w:r>
      <w:r>
        <w:rPr>
          <w:rFonts w:ascii="Arial" w:hAnsi="Arial" w:eastAsia="Arial" w:cs="Arial"/>
          <w:color w:val="000000"/>
          <w:sz w:val="24"/>
        </w:rPr>
        <w:t xml:space="preserve"> </w:t>
      </w:r>
      <w:r>
        <w:rPr>
          <w:rFonts w:ascii="Arial" w:hAnsi="Arial" w:eastAsia="Arial" w:cs="Arial"/>
          <w:color w:val="000000"/>
          <w:sz w:val="24"/>
        </w:rPr>
        <w:t xml:space="preserve">Weitere Informationen </w:t>
      </w:r>
      <w:r>
        <w:rPr>
          <w:rFonts w:ascii="Arial" w:hAnsi="Arial" w:eastAsia="Arial" w:cs="Arial"/>
          <w:color w:val="000000"/>
          <w:sz w:val="24"/>
        </w:rPr>
        <w:t xml:space="preserve">finden Sie auch in der </w:t>
      </w:r>
      <w:r>
        <w:rPr>
          <w:rFonts w:ascii="Arial" w:hAnsi="Arial" w:eastAsia="Arial" w:cs="Arial"/>
          <w:color w:val="000000"/>
          <w:sz w:val="24"/>
        </w:rPr>
        <w:t xml:space="preserve">Rubrik Hochschule im </w:t>
      </w:r>
      <w:hyperlink r:id="rId12" w:tooltip="https://telucation.tugraz.at/03-ergaenzung-virtuelle-lehre-satzungsteil/" w:history="1">
        <w:r>
          <w:rPr>
            <w:rStyle w:val="941"/>
            <w:rFonts w:ascii="Arial" w:hAnsi="Arial" w:eastAsia="Arial" w:cs="Arial"/>
            <w:sz w:val="24"/>
          </w:rPr>
          <w:t xml:space="preserve">Beitrag: #03 Ergänzung</w:t>
        </w:r>
      </w:hyperlink>
      <w:r>
        <w:rPr>
          <w:rFonts w:ascii="Arial" w:hAnsi="Arial" w:eastAsia="Arial" w:cs="Arial"/>
          <w:color w:val="000000"/>
          <w:sz w:val="24"/>
        </w:rPr>
        <w:t xml:space="preserve">.</w:t>
      </w:r>
      <w:r>
        <w:rPr>
          <w:rFonts w:ascii="Arial" w:hAnsi="Arial" w:eastAsia="Arial" w:cs="Arial"/>
          <w:color w:val="000000"/>
          <w:sz w:val="24"/>
        </w:rPr>
      </w:r>
      <w:r/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</w:rPr>
      </w:r>
      <w:r>
        <w:rPr>
          <w:rFonts w:ascii="Arial" w:hAnsi="Arial" w:eastAsia="Arial" w:cs="Arial"/>
          <w:color w:val="000000"/>
          <w:sz w:val="24"/>
        </w:rPr>
        <w:t xml:space="preserve">iMooX.at kann mit dem Lernmanagementsystem der </w:t>
      </w:r>
      <w:r>
        <w:rPr>
          <w:rFonts w:ascii="Arial" w:hAnsi="Arial" w:eastAsia="Arial" w:cs="Arial"/>
          <w:color w:val="000000"/>
          <w:sz w:val="24"/>
        </w:rPr>
        <w:t xml:space="preserve">TU Graz, dem TeachCenter, verknüpft werden. Über eine</w:t>
      </w:r>
      <w:hyperlink r:id="rId13" w:tooltip="https://telucation.tugraz.at/lti/" w:history="1">
        <w:r>
          <w:rPr>
            <w:rStyle w:val="941"/>
            <w:rFonts w:ascii="Arial" w:hAnsi="Arial" w:eastAsia="Arial" w:cs="Arial"/>
            <w:sz w:val="24"/>
          </w:rPr>
          <w:t xml:space="preserve"> </w:t>
        </w:r>
        <w:r>
          <w:rPr>
            <w:rStyle w:val="941"/>
          </w:rPr>
        </w:r>
        <w:r>
          <w:rPr>
            <w:rStyle w:val="941"/>
            <w:rFonts w:ascii="Arial" w:hAnsi="Arial" w:eastAsia="Arial" w:cs="Arial"/>
            <w:sz w:val="24"/>
          </w:rPr>
          <w:t xml:space="preserve">LTI-Verbindung</w:t>
        </w:r>
      </w:hyperlink>
      <w:r>
        <w:rPr>
          <w:rFonts w:ascii="Arial" w:hAnsi="Arial" w:eastAsia="Arial" w:cs="Arial"/>
          <w:color w:val="000000"/>
          <w:sz w:val="24"/>
        </w:rPr>
        <w:t xml:space="preserve"> können Inhalte von iMooX direkt im</w:t>
      </w: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/>
      </w:pPr>
      <w:r>
        <w:rPr>
          <w:rFonts w:ascii="Arial" w:hAnsi="Arial" w:eastAsia="Arial" w:cs="Arial"/>
          <w:color w:val="000000"/>
          <w:sz w:val="24"/>
        </w:rPr>
        <w:t xml:space="preserve">TeachCenter eingebettet werden.</w:t>
      </w:r>
      <w:r/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</w:rPr>
        <w:t xml:space="preserve">Auch Bewertungen der Studierenden aus dem MOOC </w:t>
      </w:r>
      <w:r>
        <w:rPr>
          <w:rFonts w:ascii="Arial" w:hAnsi="Arial" w:eastAsia="Arial" w:cs="Arial"/>
          <w:color w:val="000000"/>
          <w:sz w:val="24"/>
        </w:rPr>
        <w:t xml:space="preserve">können ins TeachCenter übertragen werden.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/>
      </w:pPr>
      <w:r>
        <w:rPr>
          <w:rFonts w:ascii="Arial" w:hAnsi="Arial" w:eastAsia="Arial" w:cs="Arial"/>
          <w:color w:val="000000"/>
          <w:sz w:val="24"/>
          <w:highlight w:val="none"/>
        </w:rPr>
        <w:t xml:space="preserve">Der MOOC kann somit in die Kursbewertung einfließen, oder es können Bonuspunkte für das </w:t>
      </w:r>
      <w:r>
        <w:rPr>
          <w:rFonts w:ascii="Arial" w:hAnsi="Arial" w:eastAsia="Arial" w:cs="Arial"/>
          <w:color w:val="000000"/>
          <w:sz w:val="24"/>
          <w:highlight w:val="none"/>
        </w:rPr>
        <w:t xml:space="preserve">Absolvieren des MOOCs vergeben werden. In allen nachfolgenden Lehrszenarien kann natürlich </w:t>
      </w:r>
      <w:r>
        <w:rPr>
          <w:rFonts w:ascii="Arial" w:hAnsi="Arial" w:eastAsia="Arial" w:cs="Arial"/>
          <w:color w:val="000000"/>
          <w:sz w:val="24"/>
          <w:highlight w:val="none"/>
        </w:rPr>
        <w:t xml:space="preserve">immer parallel das TeachCenter zur Bereitstellung weiterer Inhalte und Aufgaben genutzt </w:t>
      </w:r>
      <w:r>
        <w:rPr>
          <w:rFonts w:ascii="Arial" w:hAnsi="Arial" w:eastAsia="Arial" w:cs="Arial"/>
          <w:color w:val="000000"/>
          <w:sz w:val="24"/>
          <w:highlight w:val="none"/>
        </w:rPr>
        <w:t xml:space="preserve">werden. Nach Absolvieren des MOOCs kann in jedem Szenario eine Prüfung oder Aufgabe über </w:t>
      </w:r>
      <w:r>
        <w:rPr>
          <w:rFonts w:ascii="Arial" w:hAnsi="Arial" w:eastAsia="Arial" w:cs="Arial"/>
          <w:color w:val="000000"/>
          <w:sz w:val="24"/>
          <w:highlight w:val="none"/>
        </w:rPr>
        <w:t xml:space="preserve">die Inhalte ergänzt werden.</w:t>
      </w:r>
      <w:r>
        <w:rPr>
          <w:rFonts w:ascii="Arial" w:hAnsi="Arial" w:eastAsia="Arial" w:cs="Arial"/>
          <w:color w:val="000000"/>
          <w:sz w:val="24"/>
          <w:highlight w:val="none"/>
        </w:rPr>
      </w:r>
      <w:r/>
    </w:p>
    <w:p>
      <w:pPr>
        <w:pStyle w:val="781"/>
        <w:pBdr/>
        <w:spacing/>
        <w:ind/>
        <w:rPr>
          <w14:ligatures w14:val="none"/>
        </w:rPr>
      </w:pPr>
      <w:r>
        <w:t xml:space="preserve">8 Einsatzszenarien von MOOCs in der eigenen Lehre</w:t>
      </w:r>
      <w:r>
        <w:rPr>
          <w14:ligatures w14:val="none"/>
        </w:rPr>
      </w:r>
      <w:r>
        <w:rPr>
          <w14:ligatures w14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/>
      </w:pPr>
      <w:r>
        <w:rPr>
          <w:rFonts w:ascii="Arial" w:hAnsi="Arial" w:eastAsia="Arial" w:cs="Arial"/>
          <w:color w:val="000000"/>
          <w:sz w:val="24"/>
          <w:highlight w:val="none"/>
        </w:rPr>
        <w:t xml:space="preserve">Eine Kurzübersicht über die 8 Szenarien finden Sie auch als </w:t>
      </w:r>
      <w:hyperlink r:id="rId14" w:tooltip="https://doi.org/10.3217/krjr3-0hh93" w:history="1">
        <w:r>
          <w:rPr>
            <w:rStyle w:val="941"/>
            <w:rFonts w:ascii="Arial" w:hAnsi="Arial" w:eastAsia="Arial" w:cs="Arial"/>
            <w:sz w:val="24"/>
            <w:highlight w:val="none"/>
          </w:rPr>
          <w:t xml:space="preserve">Flyer </w:t>
        </w:r>
        <w:r>
          <w:rPr>
            <w:rStyle w:val="941"/>
            <w:rFonts w:ascii="Arial" w:hAnsi="Arial" w:eastAsia="Arial" w:cs="Arial"/>
            <w:sz w:val="24"/>
            <w:highlight w:val="none"/>
          </w:rPr>
          <w:t xml:space="preserve">im OER-Repository der TU Graz</w:t>
        </w:r>
      </w:hyperlink>
      <w:r>
        <w:rPr>
          <w:rFonts w:ascii="Arial" w:hAnsi="Arial" w:eastAsia="Arial" w:cs="Arial"/>
          <w:color w:val="000000"/>
          <w:sz w:val="24"/>
          <w:highlight w:val="none"/>
        </w:rPr>
        <w:t xml:space="preserve">.</w:t>
      </w:r>
      <w:r>
        <w:rPr>
          <w:rFonts w:ascii="Arial" w:hAnsi="Arial" w:eastAsia="Arial" w:cs="Arial"/>
          <w:color w:val="000000"/>
          <w:sz w:val="24"/>
          <w:highlight w:val="none"/>
        </w:rPr>
      </w:r>
      <w:r/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  <w:t xml:space="preserve">Szenario 1: Der konventionelle 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/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einem konventionellen MOOC wird „nur” der Online-Kurs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absolviert, es gibt keine Präsenzeinheiten dazu. Kontaktstunden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werden durch einen MOOC ersetzt.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Der MOOC kann auch nur als Ergänzung der eigenen Lehre empfohlen werden und freiwillig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als Vertiefung absolviert werden.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/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Interesse, aus den Inhalten der eigenen Lehrveranstaltung einen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MOOC zu produzieren, kontaktieren Sie </w:t>
      </w:r>
      <w:hyperlink r:id="rId15" w:tooltip="http://office@imoox.at" w:history="1"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  <w:t xml:space="preserve">office@imoox.at</w:t>
        </w:r>
        <w:r>
          <w:rPr>
            <w:rStyle w:val="941"/>
          </w:rPr>
        </w:r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</w:r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</w:r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</w:r>
      </w:hyperlink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59465" cy="1192198"/>
                <wp:effectExtent l="0" t="0" r="0" b="0"/>
                <wp:docPr id="1" name="" title="Szenario 1: konventioneller 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888778" name="" title="Szenario 1: konventioneller 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0" t="24154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3159464" cy="11921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48.78pt;height:93.87pt;mso-wrap-distance-left:0.00pt;mso-wrap-distance-top:0.00pt;mso-wrap-distance-right:0.00pt;mso-wrap-distance-bottom:0.00pt;rotation:0;z-index:1;" stroked="false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2: Der Intro-MOOC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absolvieren Studierende einen gesamten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MOOC oder bestimmte Teile daraus, bevor sie an den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Präsenzeinheiten teilnehmen. Der Abschluss des MOOCs kann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Voraussetzung sein, um an der Präsenzeinheit teilnehmen zu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können. In der Lehrveranstaltung können die Themen aus dem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MOOC dann vertieft werden.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35665" cy="1203066"/>
                <wp:effectExtent l="0" t="0" r="0" b="0"/>
                <wp:docPr id="2" name="" title="Szenario 2: Intro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255364" name="" title="Szenario 2: Intro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rcRect l="0" t="24670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3235664" cy="12030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54.78pt;height:94.73pt;mso-wrap-distance-left:0.00pt;mso-wrap-distance-top:0.00pt;mso-wrap-distance-right:0.00pt;mso-wrap-distance-bottom:0.00pt;rotation:0;z-index:1;" stroked="false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3: Der Kickoff-MOOC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wird zuerst eine Präsenzeinheit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abgehalten (Kickoff), danach absolvieren die Studierenden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selbstständig den MOOC. In der Präsenzeinheit werden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notwendige organisatorische oder inhaltliche Themen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geklärt oder der Umgang mit der MOOC-Plattform gezeigt.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73715" cy="1136196"/>
                <wp:effectExtent l="0" t="0" r="0" b="0"/>
                <wp:docPr id="3" name="" title="Szenario 3: Kickoff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9059954" name="" title="Szenario 3: Kickoff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rcRect l="0" t="23692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2873714" cy="1136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226.28pt;height:89.46pt;mso-wrap-distance-left:0.00pt;mso-wrap-distance-top:0.00pt;mso-wrap-distance-right:0.00pt;mso-wrap-distance-bottom:0.00pt;rotation:0;z-index:1;" stroked="false"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4: Der Blended-MOOC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finden MOOC-Einheiten und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Präsenzeinheiten abwechselnd statt. MOOCEinheiten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können auch einzelne Präsenzeinheiten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ersetzen und dienen im Unterschied zum Flipped-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MOOC nicht nur zur Vorbereitung auf die Präsenzeinheit.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68215" cy="1075785"/>
                <wp:effectExtent l="0" t="0" r="0" b="0"/>
                <wp:docPr id="4" name="" title="Szenario 4: Blended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6598628" name="" title="Szenario 4: Blended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rcRect l="0" t="21039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4068215" cy="10757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320.33pt;height:84.71pt;mso-wrap-distance-left:0.00pt;mso-wrap-distance-top:0.00pt;mso-wrap-distance-right:0.00pt;mso-wrap-distance-bottom:0.00pt;rotation:0;z-index:1;" stroked="false">
                <v:imagedata r:id="rId19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5: Der Inter-MOOC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ist der MOOC zwischen einer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einleitenden und einer abschließenden Präsenzeinheit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eingebettet und wird dazwischen selbstständig von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Studierenden absolviert.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78515" cy="1062019"/>
                <wp:effectExtent l="0" t="0" r="0" b="0"/>
                <wp:docPr id="5" name="" title="Szenario 5: Inter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0498652" name="" title="Szenario 5: Inter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0" t="21681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3178514" cy="1062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250.28pt;height:83.62pt;mso-wrap-distance-left:0.00pt;mso-wrap-distance-top:0.00pt;mso-wrap-distance-right:0.00pt;mso-wrap-distance-bottom:0.00pt;rotation:0;z-index:1;" stroked="false">
                <v:imagedata r:id="rId20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6: Der Inverse-Blended-MOOC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werden Präsenzeinheiten durch einen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MOOC ersetzt. Die Studierenden bilden selbstständig Lerngruppen,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um die Inhalte zu erarbeiten.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3543" cy="1313910"/>
                <wp:effectExtent l="0" t="0" r="0" b="0"/>
                <wp:docPr id="6" name="" title="Szenario 6: Inverse-Blended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056316" name="" title="Szenario 6: Inverse-Blended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rcRect l="0" t="24229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3693542" cy="1313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290.83pt;height:103.46pt;mso-wrap-distance-left:0.00pt;mso-wrap-distance-top:0.00pt;mso-wrap-distance-right:0.00pt;mso-wrap-distance-bottom:0.00pt;rotation:0;z-index:1;" stroked="false">
                <v:imagedata r:id="rId21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7: Der Flipped-MOOC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/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wird ein MOOC für „Flipped Classroom”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verwendet. Flipped Classroom dreht das klassische Konzept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„Theorie im Unterricht – Anwendung zu Hause” um.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/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Die Studierenden bereiten sich jede Woche individuell und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selbstständig mit einer vorgegebenen Lektion aus dem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MOOC auf die Präsenzeinheit vor. In der Lehrveranstaltung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wird das Gelernte dann vertieft und angewendet.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Weitere Informationen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finden Sie auch in der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Rubrik Didaktik im </w:t>
      </w:r>
      <w:hyperlink r:id="rId22" w:tooltip="https://telucation.tugraz.at/01-flipped-classroom-de/" w:history="1"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  <w:t xml:space="preserve">Beitrag: </w:t>
        </w:r>
        <w:r>
          <w:rPr>
            <w:rStyle w:val="941"/>
          </w:rPr>
        </w:r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</w:r>
        <w:r>
          <w:rPr>
            <w:rStyle w:val="941"/>
            <w:rFonts w:ascii="Arial" w:hAnsi="Arial" w:eastAsia="Arial" w:cs="Arial"/>
            <w:sz w:val="24"/>
            <w:szCs w:val="24"/>
            <w:highlight w:val="none"/>
          </w:rPr>
          <w:t xml:space="preserve">#01 Flipped Classroom</w:t>
        </w:r>
      </w:hyperlink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14451" cy="1398272"/>
                <wp:effectExtent l="0" t="0" r="0" b="0"/>
                <wp:docPr id="7" name="" title="Szenario 7: Flipped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8065834" name="" title="Szenario 7: Flipped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rcRect l="0" t="23094" r="0" b="367"/>
                        <a:stretch/>
                      </pic:blipFill>
                      <pic:spPr bwMode="auto">
                        <a:xfrm rot="0" flipH="0" flipV="0">
                          <a:off x="0" y="0"/>
                          <a:ext cx="3014450" cy="13982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237.36pt;height:110.10pt;mso-wrap-distance-left:0.00pt;mso-wrap-distance-top:0.00pt;mso-wrap-distance-right:0.00pt;mso-wrap-distance-bottom:0.00pt;rotation:0;z-index:1;" stroked="false">
                <v:imagedata r:id="rId23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2"/>
        <w:suppressLineNumbers w:val="false"/>
        <w:pBdr/>
        <w:spacing/>
        <w:ind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Szenario 8: Der Fragestunde-MOOC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Bei diesem Szenario absolvieren Studierende den MOOC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grundsätzlich selbstständig und ohne vorgeschaltete oder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nachfolgende Präsenzeinheiten. Während dieser Zeit werden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allerdings Fragestunden angeboten, in denen die MOOC-Inhalte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  <w:t xml:space="preserve">oder Aufgabenstellungen diskutiert werden können.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contextualSpacing w:val="false"/>
        <w:jc w:val="lef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54715" cy="1087230"/>
                <wp:effectExtent l="0" t="0" r="0" b="0"/>
                <wp:docPr id="8" name="" title="Szenario 8: Fragestunde-MO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70742" name="" title="Szenario 8: Fragestunde-MOOC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rcRect l="0" t="23636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3254715" cy="1087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256.28pt;height:85.61pt;mso-wrap-distance-left:0.00pt;mso-wrap-distance-top:0.00pt;mso-wrap-distance-right:0.00pt;mso-wrap-distance-bottom:0.00pt;rotation:0;z-index:1;" stroked="false">
                <v:imagedata r:id="rId24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81"/>
        <w:suppressLineNumbers w:val="false"/>
        <w:pBdr/>
        <w:spacing/>
        <w:ind/>
        <w:rPr>
          <w:highlight w:val="none"/>
          <w14:ligatures w14:val="none"/>
        </w:rPr>
      </w:pPr>
      <w:r>
        <w:rPr>
          <w:highlight w:val="none"/>
        </w:rPr>
        <w:t xml:space="preserve">Kontakt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Bdr/>
        <w:spacing/>
        <w:ind/>
        <w:rPr/>
      </w:pPr>
      <w:r>
        <w:t xml:space="preserve">Für Fragen zu den 8 MOOC-Szenarien </w:t>
      </w:r>
      <w:r>
        <w:t xml:space="preserve">oder zum Kursangebot auf iMooX: </w:t>
      </w:r>
      <w:hyperlink r:id="rId25" w:tooltip="mailto:office@imoox.at" w:history="1">
        <w:r>
          <w:rPr>
            <w:rStyle w:val="941"/>
          </w:rPr>
          <w:t xml:space="preserve">office@imoox.at</w:t>
        </w:r>
        <w:r>
          <w:rPr>
            <w:rStyle w:val="941"/>
          </w:rPr>
        </w:r>
        <w:r>
          <w:rPr>
            <w:rStyle w:val="941"/>
          </w:rPr>
        </w:r>
        <w:r>
          <w:rPr>
            <w:rStyle w:val="941"/>
          </w:rPr>
        </w:r>
        <w:r>
          <w:rPr>
            <w:rStyle w:val="941"/>
          </w:rPr>
        </w:r>
      </w:hyperlink>
      <w:r/>
      <w:r/>
    </w:p>
    <w:p>
      <w:pPr>
        <w:pStyle w:val="781"/>
        <w:pBdr/>
        <w:spacing/>
        <w:ind/>
        <w:rPr/>
      </w:pPr>
      <w:r>
        <w:t xml:space="preserve">Sticker zum Beitrag</w:t>
      </w:r>
      <w:r/>
    </w:p>
    <w:p>
      <w:pPr>
        <w:pBdr/>
        <w:spacing/>
        <w:ind/>
        <w:rPr>
          <w:color w:val="000000"/>
          <w:sz w:val="24"/>
          <w:szCs w:val="24"/>
        </w:rPr>
      </w:pPr>
      <w:r/>
      <w:bookmarkStart w:id="0" w:name="_GoBack"/>
      <w:r>
        <w:rPr>
          <w:color w:val="000000"/>
          <w:sz w:val="24"/>
          <w:szCs w:val="24"/>
        </w:rPr>
      </w:r>
      <w:bookmarkEnd w:id="0"/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14604" cy="1939631"/>
                <wp:effectExtent l="0" t="0" r="0" b="0"/>
                <wp:docPr id="9" name="" title="Sticker zum Beitrag: Puzzleteile, die das Wort Massive Open Online Course illustrier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9952952" name="" title="Sticker zum Beitrag: Puzzleteile, die das Wort Massive Open Online Course illustrieren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 rot="0" flipH="0" flipV="0">
                          <a:off x="0" y="0"/>
                          <a:ext cx="1914603" cy="1939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150.76pt;height:152.73pt;mso-wrap-distance-left:0.00pt;mso-wrap-distance-top:0.00pt;mso-wrap-distance-right:0.00pt;mso-wrap-distance-bottom:0.00pt;rotation:0;z-index:1;" stroked="false">
                <v:imagedata r:id="rId26" o:title=""/>
                <o:lock v:ext="edit" rotation="t"/>
              </v:shape>
            </w:pict>
          </mc:Fallback>
        </mc:AlternateContent>
      </w:r>
      <w:r>
        <w:rPr>
          <w:color w:val="000000"/>
          <w:sz w:val="24"/>
          <w:szCs w:val="24"/>
        </w:rPr>
      </w:r>
    </w:p>
    <w:sectPr>
      <w:footerReference w:type="default" r:id="rId9"/>
      <w:footnotePr/>
      <w:endnotePr/>
      <w:type w:val="nextPage"/>
      <w:pgSz w:h="16838" w:orient="portrait" w:w="11906"/>
      <w:pgMar w:top="1134" w:right="850" w:bottom="1134" w:left="1701" w:header="709" w:footer="709" w:gutter="0"/>
      <w:pgNumType w:start="1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pBdr/>
      <w:spacing/>
      <w:ind/>
      <w:jc w:val="center"/>
      <w:rPr/>
    </w:pPr>
    <w:fldSimple w:instr="PAGE \* MERGEFORMAT">
      <w:r>
        <w:t xml:space="preserve">5</w:t>
      </w:r>
    </w:fldSimple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styleLink w:val="968"/>
    <w:lvl w:ilvl="0">
      <w:isLgl w:val="false"/>
      <w:lvlJc w:val="left"/>
      <w:lvlText w:val="%1."/>
      <w:numFmt w:val="decimal"/>
      <w:pPr>
        <w:pBdr/>
        <w:spacing/>
        <w:ind w:hanging="360" w:left="1080"/>
      </w:pPr>
      <w:pStyle w:val="968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720"/>
      </w:pPr>
      <w:pStyle w:val="960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80"/>
      </w:pPr>
      <w:pStyle w:val="962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styleLink w:val="966"/>
    <w:lvl w:ilvl="0">
      <w:isLgl w:val="false"/>
      <w:lvlJc w:val="left"/>
      <w:lvlText w:val=""/>
      <w:numFmt w:val="bullet"/>
      <w:pPr>
        <w:pBdr/>
        <w:spacing/>
        <w:ind w:hanging="360" w:left="360"/>
      </w:pPr>
      <w:pStyle w:val="966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spacing/>
        <w:ind w:hanging="360" w:left="3240"/>
      </w:pPr>
      <w:rPr/>
      <w:start w:val="1"/>
      <w:suff w:val="tab"/>
    </w:lvl>
  </w:abstractNum>
  <w:abstractNum w:abstractNumId="6">
    <w:styleLink w:val="967"/>
    <w:lvl w:ilvl="0">
      <w:isLgl w:val="false"/>
      <w:lvlJc w:val="left"/>
      <w:lvlText w:val="%1)"/>
      <w:numFmt w:val="decimal"/>
      <w:pPr>
        <w:pBdr/>
        <w:spacing/>
        <w:ind w:hanging="360" w:left="360"/>
      </w:pPr>
      <w:pStyle w:val="967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spacing/>
        <w:ind w:hanging="360" w:left="3240"/>
      </w:pPr>
      <w:rPr/>
      <w:start w:val="1"/>
      <w:suff w:val="tab"/>
    </w:lvl>
  </w:abstractNum>
  <w:abstractNum w:abstractNumId="7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0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2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5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color w:val="000000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7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8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9">
    <w:lvl w:ilvl="0">
      <w:isLgl w:val="false"/>
      <w:lvlJc w:val="left"/>
      <w:lvlText w:val="·"/>
      <w:numFmt w:val="bullet"/>
      <w:pPr>
        <w:pBdr/>
        <w:spacing/>
        <w:ind w:hanging="360" w:left="1417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2137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857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4297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5017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6457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7177"/>
      </w:pPr>
      <w:rPr>
        <w:rFonts w:hint="default" w:ascii="Symbol" w:hAnsi="Symbol" w:eastAsia="Symbol" w:cs="Symbol"/>
      </w:rPr>
      <w:start w:val="1"/>
      <w:suff w:val="tab"/>
    </w:lvl>
  </w:abstractNum>
  <w:abstractNum w:abstractNumId="2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21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2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de-DE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5">
    <w:name w:val="Intense Emphasis"/>
    <w:basedOn w:val="7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6">
    <w:name w:val="Intense Reference"/>
    <w:basedOn w:val="7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7">
    <w:name w:val="Subtle Emphasis"/>
    <w:basedOn w:val="7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8">
    <w:name w:val="Emphasis"/>
    <w:basedOn w:val="789"/>
    <w:uiPriority w:val="20"/>
    <w:qFormat/>
    <w:pPr>
      <w:pBdr/>
      <w:spacing/>
      <w:ind/>
    </w:pPr>
    <w:rPr>
      <w:i/>
      <w:iCs/>
    </w:rPr>
  </w:style>
  <w:style w:type="character" w:styleId="759">
    <w:name w:val="Strong"/>
    <w:basedOn w:val="789"/>
    <w:uiPriority w:val="22"/>
    <w:qFormat/>
    <w:pPr>
      <w:pBdr/>
      <w:spacing/>
      <w:ind/>
    </w:pPr>
    <w:rPr>
      <w:b/>
      <w:bCs/>
    </w:rPr>
  </w:style>
  <w:style w:type="character" w:styleId="760">
    <w:name w:val="Subtle Reference"/>
    <w:basedOn w:val="7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61">
    <w:name w:val="Book Title"/>
    <w:basedOn w:val="78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2">
    <w:name w:val="Heading 1 Char"/>
    <w:basedOn w:val="789"/>
    <w:link w:val="78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63">
    <w:name w:val="Heading 2 Char"/>
    <w:basedOn w:val="789"/>
    <w:link w:val="781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64">
    <w:name w:val="Heading 3 Char"/>
    <w:basedOn w:val="789"/>
    <w:link w:val="78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5">
    <w:name w:val="Heading 4 Char"/>
    <w:basedOn w:val="789"/>
    <w:link w:val="78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6">
    <w:name w:val="Heading 5 Char"/>
    <w:basedOn w:val="789"/>
    <w:link w:val="78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7">
    <w:name w:val="Heading 6 Char"/>
    <w:basedOn w:val="789"/>
    <w:link w:val="78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8">
    <w:name w:val="Heading 7 Char"/>
    <w:basedOn w:val="789"/>
    <w:link w:val="78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9">
    <w:name w:val="Heading 8 Char"/>
    <w:basedOn w:val="789"/>
    <w:link w:val="78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70">
    <w:name w:val="Heading 9 Char"/>
    <w:basedOn w:val="789"/>
    <w:link w:val="78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71">
    <w:name w:val="Title Char"/>
    <w:basedOn w:val="789"/>
    <w:link w:val="801"/>
    <w:uiPriority w:val="10"/>
    <w:pPr>
      <w:pBdr/>
      <w:spacing/>
      <w:ind/>
    </w:pPr>
    <w:rPr>
      <w:sz w:val="48"/>
      <w:szCs w:val="48"/>
    </w:rPr>
  </w:style>
  <w:style w:type="character" w:styleId="772">
    <w:name w:val="Subtitle Char"/>
    <w:basedOn w:val="789"/>
    <w:link w:val="803"/>
    <w:uiPriority w:val="11"/>
    <w:pPr>
      <w:pBdr/>
      <w:spacing/>
      <w:ind/>
    </w:pPr>
    <w:rPr>
      <w:sz w:val="24"/>
      <w:szCs w:val="24"/>
    </w:rPr>
  </w:style>
  <w:style w:type="character" w:styleId="773">
    <w:name w:val="Quote Char"/>
    <w:link w:val="805"/>
    <w:uiPriority w:val="29"/>
    <w:pPr>
      <w:pBdr/>
      <w:spacing/>
      <w:ind/>
    </w:pPr>
    <w:rPr>
      <w:i/>
    </w:rPr>
  </w:style>
  <w:style w:type="character" w:styleId="774">
    <w:name w:val="Intense Quote Char"/>
    <w:link w:val="807"/>
    <w:uiPriority w:val="30"/>
    <w:pPr>
      <w:pBdr/>
      <w:spacing/>
      <w:ind/>
    </w:pPr>
    <w:rPr>
      <w:i/>
    </w:rPr>
  </w:style>
  <w:style w:type="character" w:styleId="775">
    <w:name w:val="Header Char"/>
    <w:basedOn w:val="789"/>
    <w:link w:val="809"/>
    <w:uiPriority w:val="99"/>
    <w:pPr>
      <w:pBdr/>
      <w:spacing/>
      <w:ind/>
    </w:pPr>
  </w:style>
  <w:style w:type="character" w:styleId="776">
    <w:name w:val="Caption Char"/>
    <w:basedOn w:val="813"/>
    <w:link w:val="811"/>
    <w:uiPriority w:val="99"/>
    <w:pPr>
      <w:pBdr/>
      <w:spacing/>
      <w:ind/>
    </w:pPr>
  </w:style>
  <w:style w:type="character" w:styleId="777">
    <w:name w:val="Footnote Text Char"/>
    <w:link w:val="942"/>
    <w:uiPriority w:val="99"/>
    <w:pPr>
      <w:pBdr/>
      <w:spacing/>
      <w:ind/>
    </w:pPr>
    <w:rPr>
      <w:sz w:val="18"/>
    </w:rPr>
  </w:style>
  <w:style w:type="character" w:styleId="778">
    <w:name w:val="Endnote Text Char"/>
    <w:link w:val="945"/>
    <w:uiPriority w:val="99"/>
    <w:pPr>
      <w:pBdr/>
      <w:spacing/>
      <w:ind/>
    </w:pPr>
    <w:rPr>
      <w:sz w:val="20"/>
    </w:rPr>
  </w:style>
  <w:style w:type="paragraph" w:styleId="779" w:default="1">
    <w:name w:val="Normal"/>
    <w:qFormat/>
    <w:pPr>
      <w:pBdr/>
      <w:spacing w:before="200"/>
      <w:ind/>
    </w:pPr>
    <w:rPr>
      <w:sz w:val="24"/>
    </w:rPr>
  </w:style>
  <w:style w:type="paragraph" w:styleId="780">
    <w:name w:val="Heading 1"/>
    <w:basedOn w:val="779"/>
    <w:next w:val="779"/>
    <w:link w:val="792"/>
    <w:uiPriority w:val="9"/>
    <w:qFormat/>
    <w:pPr>
      <w:keepNext w:val="true"/>
      <w:keepLines w:val="true"/>
      <w:pBdr/>
      <w:spacing w:before="480"/>
      <w:ind/>
      <w:outlineLvl w:val="0"/>
    </w:pPr>
    <w:rPr>
      <w:b/>
      <w:sz w:val="40"/>
      <w:szCs w:val="40"/>
    </w:rPr>
  </w:style>
  <w:style w:type="paragraph" w:styleId="781">
    <w:name w:val="Heading 2"/>
    <w:basedOn w:val="779"/>
    <w:next w:val="779"/>
    <w:link w:val="793"/>
    <w:uiPriority w:val="9"/>
    <w:unhideWhenUsed/>
    <w:qFormat/>
    <w:pPr>
      <w:keepNext w:val="true"/>
      <w:keepLines w:val="true"/>
      <w:pBdr/>
      <w:spacing w:before="360"/>
      <w:ind/>
      <w:outlineLvl w:val="1"/>
    </w:pPr>
    <w:rPr>
      <w:b/>
      <w:sz w:val="34"/>
    </w:rPr>
  </w:style>
  <w:style w:type="paragraph" w:styleId="782">
    <w:name w:val="Heading 3"/>
    <w:basedOn w:val="779"/>
    <w:next w:val="779"/>
    <w:link w:val="794"/>
    <w:uiPriority w:val="9"/>
    <w:unhideWhenUsed/>
    <w:qFormat/>
    <w:pPr>
      <w:keepNext w:val="true"/>
      <w:keepLines w:val="true"/>
      <w:pBdr/>
      <w:spacing w:before="320"/>
      <w:ind/>
      <w:outlineLvl w:val="2"/>
    </w:pPr>
    <w:rPr>
      <w:b/>
      <w:sz w:val="30"/>
      <w:szCs w:val="30"/>
    </w:rPr>
  </w:style>
  <w:style w:type="paragraph" w:styleId="783">
    <w:name w:val="Heading 4"/>
    <w:basedOn w:val="779"/>
    <w:next w:val="779"/>
    <w:link w:val="795"/>
    <w:uiPriority w:val="9"/>
    <w:unhideWhenUsed/>
    <w:qFormat/>
    <w:pPr>
      <w:keepNext w:val="true"/>
      <w:keepLines w:val="true"/>
      <w:pBdr/>
      <w:spacing w:before="320"/>
      <w:ind/>
      <w:outlineLvl w:val="3"/>
    </w:pPr>
    <w:rPr>
      <w:b/>
      <w:bCs/>
      <w:sz w:val="26"/>
      <w:szCs w:val="26"/>
    </w:rPr>
  </w:style>
  <w:style w:type="paragraph" w:styleId="784">
    <w:name w:val="Heading 5"/>
    <w:basedOn w:val="779"/>
    <w:next w:val="779"/>
    <w:link w:val="796"/>
    <w:uiPriority w:val="9"/>
    <w:unhideWhenUsed/>
    <w:qFormat/>
    <w:pPr>
      <w:keepNext w:val="true"/>
      <w:keepLines w:val="true"/>
      <w:pBdr/>
      <w:spacing w:before="320"/>
      <w:ind/>
      <w:outlineLvl w:val="4"/>
    </w:pPr>
    <w:rPr>
      <w:b/>
      <w:bCs/>
      <w:sz w:val="24"/>
      <w:szCs w:val="24"/>
    </w:rPr>
  </w:style>
  <w:style w:type="paragraph" w:styleId="785">
    <w:name w:val="Heading 6"/>
    <w:basedOn w:val="779"/>
    <w:next w:val="779"/>
    <w:link w:val="797"/>
    <w:uiPriority w:val="9"/>
    <w:unhideWhenUsed/>
    <w:qFormat/>
    <w:pPr>
      <w:keepNext w:val="true"/>
      <w:keepLines w:val="true"/>
      <w:pBdr/>
      <w:spacing w:before="320"/>
      <w:ind/>
      <w:outlineLvl w:val="5"/>
    </w:pPr>
    <w:rPr>
      <w:b/>
      <w:bCs/>
      <w:sz w:val="22"/>
    </w:rPr>
  </w:style>
  <w:style w:type="paragraph" w:styleId="786">
    <w:name w:val="Heading 7"/>
    <w:basedOn w:val="779"/>
    <w:next w:val="779"/>
    <w:link w:val="798"/>
    <w:uiPriority w:val="9"/>
    <w:unhideWhenUsed/>
    <w:qFormat/>
    <w:pPr>
      <w:keepNext w:val="true"/>
      <w:keepLines w:val="true"/>
      <w:pBdr/>
      <w:spacing w:before="320"/>
      <w:ind/>
      <w:outlineLvl w:val="6"/>
    </w:pPr>
    <w:rPr>
      <w:b/>
      <w:bCs/>
      <w:i/>
      <w:iCs/>
      <w:sz w:val="22"/>
    </w:rPr>
  </w:style>
  <w:style w:type="paragraph" w:styleId="787">
    <w:name w:val="Heading 8"/>
    <w:basedOn w:val="779"/>
    <w:next w:val="779"/>
    <w:link w:val="799"/>
    <w:uiPriority w:val="9"/>
    <w:unhideWhenUsed/>
    <w:qFormat/>
    <w:pPr>
      <w:keepNext w:val="true"/>
      <w:keepLines w:val="true"/>
      <w:pBdr/>
      <w:spacing w:before="320"/>
      <w:ind/>
      <w:outlineLvl w:val="7"/>
    </w:pPr>
    <w:rPr>
      <w:i/>
      <w:iCs/>
      <w:sz w:val="22"/>
    </w:rPr>
  </w:style>
  <w:style w:type="paragraph" w:styleId="788">
    <w:name w:val="Heading 9"/>
    <w:basedOn w:val="779"/>
    <w:next w:val="779"/>
    <w:link w:val="800"/>
    <w:uiPriority w:val="9"/>
    <w:unhideWhenUsed/>
    <w:qFormat/>
    <w:pPr>
      <w:keepNext w:val="true"/>
      <w:keepLines w:val="true"/>
      <w:pBdr/>
      <w:spacing w:before="320"/>
      <w:ind/>
      <w:outlineLvl w:val="8"/>
    </w:pPr>
    <w:rPr>
      <w:i/>
      <w:iCs/>
      <w:sz w:val="21"/>
      <w:szCs w:val="21"/>
    </w:rPr>
  </w:style>
  <w:style w:type="character" w:styleId="789" w:default="1">
    <w:name w:val="Default Paragraph Font"/>
    <w:uiPriority w:val="1"/>
    <w:unhideWhenUsed/>
    <w:pPr>
      <w:pBdr/>
      <w:spacing/>
      <w:ind/>
    </w:pPr>
  </w:style>
  <w:style w:type="table" w:styleId="79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1" w:default="1">
    <w:name w:val="No List"/>
    <w:uiPriority w:val="99"/>
    <w:semiHidden/>
    <w:unhideWhenUsed/>
    <w:pPr>
      <w:pBdr/>
      <w:spacing/>
      <w:ind/>
    </w:pPr>
  </w:style>
  <w:style w:type="character" w:styleId="792" w:customStyle="1">
    <w:name w:val="Überschrift 1 Zchn"/>
    <w:link w:val="780"/>
    <w:uiPriority w:val="9"/>
    <w:pPr>
      <w:pBdr/>
      <w:spacing/>
      <w:ind/>
    </w:pPr>
    <w:rPr>
      <w:b/>
      <w:sz w:val="40"/>
      <w:szCs w:val="40"/>
    </w:rPr>
  </w:style>
  <w:style w:type="character" w:styleId="793" w:customStyle="1">
    <w:name w:val="Überschrift 2 Zchn"/>
    <w:link w:val="781"/>
    <w:uiPriority w:val="9"/>
    <w:pPr>
      <w:pBdr/>
      <w:spacing/>
      <w:ind/>
    </w:pPr>
    <w:rPr>
      <w:b/>
      <w:sz w:val="34"/>
    </w:rPr>
  </w:style>
  <w:style w:type="character" w:styleId="794" w:customStyle="1">
    <w:name w:val="Überschrift 3 Zchn"/>
    <w:link w:val="782"/>
    <w:uiPriority w:val="9"/>
    <w:pPr>
      <w:pBdr/>
      <w:spacing/>
      <w:ind/>
    </w:pPr>
    <w:rPr>
      <w:b/>
      <w:sz w:val="30"/>
      <w:szCs w:val="30"/>
    </w:rPr>
  </w:style>
  <w:style w:type="character" w:styleId="795" w:customStyle="1">
    <w:name w:val="Überschrift 4 Zchn"/>
    <w:link w:val="78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96" w:customStyle="1">
    <w:name w:val="Überschrift 5 Zchn"/>
    <w:link w:val="78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97" w:customStyle="1">
    <w:name w:val="Überschrift 6 Zchn"/>
    <w:link w:val="78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98" w:customStyle="1">
    <w:name w:val="Überschrift 7 Zchn"/>
    <w:link w:val="78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9" w:customStyle="1">
    <w:name w:val="Überschrift 8 Zchn"/>
    <w:link w:val="78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00" w:customStyle="1">
    <w:name w:val="Überschrift 9 Zchn"/>
    <w:link w:val="78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01">
    <w:name w:val="Title"/>
    <w:basedOn w:val="779"/>
    <w:next w:val="779"/>
    <w:link w:val="802"/>
    <w:uiPriority w:val="10"/>
    <w:qFormat/>
    <w:pPr>
      <w:pBdr/>
      <w:spacing w:before="300"/>
      <w:ind/>
      <w:contextualSpacing w:val="true"/>
    </w:pPr>
    <w:rPr>
      <w:sz w:val="48"/>
      <w:szCs w:val="48"/>
    </w:rPr>
  </w:style>
  <w:style w:type="character" w:styleId="802" w:customStyle="1">
    <w:name w:val="Titel Zchn"/>
    <w:link w:val="801"/>
    <w:uiPriority w:val="10"/>
    <w:pPr>
      <w:pBdr/>
      <w:spacing/>
      <w:ind/>
    </w:pPr>
    <w:rPr>
      <w:sz w:val="48"/>
      <w:szCs w:val="48"/>
    </w:rPr>
  </w:style>
  <w:style w:type="paragraph" w:styleId="803">
    <w:name w:val="Subtitle"/>
    <w:basedOn w:val="779"/>
    <w:next w:val="779"/>
    <w:link w:val="804"/>
    <w:uiPriority w:val="11"/>
    <w:qFormat/>
    <w:pPr>
      <w:pBdr/>
      <w:spacing/>
      <w:ind/>
    </w:pPr>
    <w:rPr>
      <w:sz w:val="24"/>
      <w:szCs w:val="24"/>
    </w:rPr>
  </w:style>
  <w:style w:type="character" w:styleId="804" w:customStyle="1">
    <w:name w:val="Untertitel Zchn"/>
    <w:link w:val="803"/>
    <w:uiPriority w:val="11"/>
    <w:pPr>
      <w:pBdr/>
      <w:spacing/>
      <w:ind/>
    </w:pPr>
    <w:rPr>
      <w:sz w:val="24"/>
      <w:szCs w:val="24"/>
    </w:rPr>
  </w:style>
  <w:style w:type="paragraph" w:styleId="805">
    <w:name w:val="Quote"/>
    <w:basedOn w:val="779"/>
    <w:next w:val="779"/>
    <w:link w:val="806"/>
    <w:uiPriority w:val="29"/>
    <w:qFormat/>
    <w:pPr>
      <w:pBdr/>
      <w:spacing w:after="240" w:before="240"/>
      <w:ind w:right="720"/>
    </w:pPr>
    <w:rPr>
      <w:b/>
      <w:i/>
      <w:sz w:val="28"/>
    </w:rPr>
  </w:style>
  <w:style w:type="character" w:styleId="806" w:customStyle="1">
    <w:name w:val="Zitat Zchn"/>
    <w:link w:val="805"/>
    <w:uiPriority w:val="29"/>
    <w:pPr>
      <w:pBdr/>
      <w:spacing/>
      <w:ind/>
    </w:pPr>
    <w:rPr>
      <w:b/>
      <w:i/>
      <w:sz w:val="28"/>
    </w:rPr>
  </w:style>
  <w:style w:type="paragraph" w:styleId="807">
    <w:name w:val="Intense Quote"/>
    <w:basedOn w:val="779"/>
    <w:next w:val="779"/>
    <w:link w:val="80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left="720"/>
    </w:pPr>
    <w:rPr>
      <w:i/>
    </w:rPr>
  </w:style>
  <w:style w:type="character" w:styleId="808" w:customStyle="1">
    <w:name w:val="Intensives Zitat Zchn"/>
    <w:link w:val="807"/>
    <w:uiPriority w:val="30"/>
    <w:pPr>
      <w:pBdr/>
      <w:spacing/>
      <w:ind/>
    </w:pPr>
    <w:rPr>
      <w:i/>
    </w:rPr>
  </w:style>
  <w:style w:type="paragraph" w:styleId="809">
    <w:name w:val="Header"/>
    <w:basedOn w:val="779"/>
    <w:link w:val="81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810" w:customStyle="1">
    <w:name w:val="Kopfzeile Zchn"/>
    <w:link w:val="809"/>
    <w:uiPriority w:val="99"/>
    <w:pPr>
      <w:pBdr/>
      <w:spacing/>
      <w:ind/>
    </w:pPr>
  </w:style>
  <w:style w:type="paragraph" w:styleId="811">
    <w:name w:val="Footer"/>
    <w:basedOn w:val="779"/>
    <w:link w:val="81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812" w:customStyle="1">
    <w:name w:val="Footer Char"/>
    <w:uiPriority w:val="99"/>
    <w:pPr>
      <w:pBdr/>
      <w:spacing/>
      <w:ind/>
    </w:pPr>
  </w:style>
  <w:style w:type="paragraph" w:styleId="813">
    <w:name w:val="Caption"/>
    <w:basedOn w:val="779"/>
    <w:next w:val="779"/>
    <w:uiPriority w:val="35"/>
    <w:semiHidden/>
    <w:unhideWhenUsed/>
    <w:qFormat/>
    <w:pPr>
      <w:pBdr/>
      <w:spacing/>
      <w:ind/>
    </w:pPr>
    <w:rPr>
      <w:b/>
      <w:bCs/>
      <w:color w:val="5b9bd5" w:themeColor="accent1"/>
      <w:sz w:val="18"/>
      <w:szCs w:val="18"/>
    </w:rPr>
  </w:style>
  <w:style w:type="character" w:styleId="814" w:customStyle="1">
    <w:name w:val="Fußzeile Zchn"/>
    <w:link w:val="811"/>
    <w:uiPriority w:val="99"/>
    <w:pPr>
      <w:pBdr/>
      <w:spacing/>
      <w:ind/>
    </w:pPr>
  </w:style>
  <w:style w:type="table" w:styleId="815">
    <w:name w:val="Table Grid"/>
    <w:basedOn w:val="79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Table Grid Light"/>
    <w:basedOn w:val="79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Plain Table 1"/>
    <w:basedOn w:val="79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Plain Table 2"/>
    <w:basedOn w:val="79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Plain Table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1 Light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1 Light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1 Light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1 Light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1 Light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1 Light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1 Light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2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2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2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2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2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2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3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3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3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3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3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3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4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4 - Accent 1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4 - Accent 2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4 - Accent 3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4 - Accent 4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4 - Accent 5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4 - Accent 6"/>
    <w:basedOn w:val="7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5 Dark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5 Dark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deaf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3d0e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3d0e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5 Dark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be5d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6c3a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a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5 Dark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cece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5d5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d5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5 Dark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2c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5 Dark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8e2f3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5 Dark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1efd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cdba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cdba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6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6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6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6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6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6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6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7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7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deaf6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7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7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7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7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7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1 Light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1 Light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1 Light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1 Light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1 Light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1 Light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1 Light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2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2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2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2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2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2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3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3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3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9c9c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3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3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da9d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3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9d08e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4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4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4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4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4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4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5 Dark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fffff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5 Dark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ffffff" w:fill="5b9bd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5 Dark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fffff" w:fill="f4b18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184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184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184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5 Dark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ffffff" w:fill="c9c9c9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5 Dark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ffff" w:fill="ffd86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865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865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865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5 Dark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ffffff" w:fill="8da9d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da9db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da9db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da9db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da9db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5 Dark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ffffff" w:fill="a9d08e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08e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08e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08e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08e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6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6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6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6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6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6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6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7 Colorful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7 Colorful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7 Colorful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7 Colorful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7 Colorful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7 Colorful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7 Colorful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ned - Accent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ned - Accent 1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ned - Accent 2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ned - Accent 3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ned - Accent 4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ned - Accent 5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ned - Accent 6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&amp; Lined - Accent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&amp; Lined - Accent 1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df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68a2d8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&amp; Lined - Accent 2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5d6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18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&amp; Lined - Accent 3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cec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Bordered &amp; Lined - Accent 4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86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&amp; Lined - Accent 5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8e2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472c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Bordered &amp; Lined - Accent 6"/>
    <w:basedOn w:val="790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D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1ef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- Accent 1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- Accent 2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- Accent 3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- Accent 4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- Accent 5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- Accent 6"/>
    <w:basedOn w:val="7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1">
    <w:name w:val="Hyperlink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942">
    <w:name w:val="footnote text"/>
    <w:basedOn w:val="779"/>
    <w:link w:val="943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43" w:customStyle="1">
    <w:name w:val="Fußnotentext Zchn"/>
    <w:link w:val="942"/>
    <w:uiPriority w:val="99"/>
    <w:pPr>
      <w:pBdr/>
      <w:spacing/>
      <w:ind/>
    </w:pPr>
    <w:rPr>
      <w:sz w:val="18"/>
    </w:rPr>
  </w:style>
  <w:style w:type="character" w:styleId="944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45">
    <w:name w:val="endnote text"/>
    <w:basedOn w:val="779"/>
    <w:link w:val="946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46" w:customStyle="1">
    <w:name w:val="Endnotentext Zchn"/>
    <w:link w:val="945"/>
    <w:uiPriority w:val="99"/>
    <w:pPr>
      <w:pBdr/>
      <w:spacing/>
      <w:ind/>
    </w:pPr>
    <w:rPr>
      <w:sz w:val="20"/>
    </w:rPr>
  </w:style>
  <w:style w:type="character" w:styleId="947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48">
    <w:name w:val="toc 1"/>
    <w:basedOn w:val="779"/>
    <w:next w:val="779"/>
    <w:uiPriority w:val="39"/>
    <w:unhideWhenUsed/>
    <w:pPr>
      <w:pBdr/>
      <w:spacing w:after="57"/>
      <w:ind/>
    </w:pPr>
  </w:style>
  <w:style w:type="paragraph" w:styleId="949">
    <w:name w:val="toc 2"/>
    <w:basedOn w:val="779"/>
    <w:next w:val="779"/>
    <w:uiPriority w:val="39"/>
    <w:unhideWhenUsed/>
    <w:pPr>
      <w:pBdr/>
      <w:spacing w:after="57"/>
      <w:ind w:left="283"/>
    </w:pPr>
  </w:style>
  <w:style w:type="paragraph" w:styleId="950">
    <w:name w:val="toc 3"/>
    <w:basedOn w:val="779"/>
    <w:next w:val="779"/>
    <w:uiPriority w:val="39"/>
    <w:unhideWhenUsed/>
    <w:pPr>
      <w:pBdr/>
      <w:spacing w:after="57"/>
      <w:ind w:left="567"/>
    </w:pPr>
  </w:style>
  <w:style w:type="paragraph" w:styleId="951">
    <w:name w:val="toc 4"/>
    <w:basedOn w:val="779"/>
    <w:next w:val="779"/>
    <w:uiPriority w:val="39"/>
    <w:unhideWhenUsed/>
    <w:pPr>
      <w:pBdr/>
      <w:spacing w:after="57"/>
      <w:ind w:left="850"/>
    </w:pPr>
  </w:style>
  <w:style w:type="paragraph" w:styleId="952">
    <w:name w:val="toc 5"/>
    <w:basedOn w:val="779"/>
    <w:next w:val="779"/>
    <w:uiPriority w:val="39"/>
    <w:unhideWhenUsed/>
    <w:pPr>
      <w:pBdr/>
      <w:spacing w:after="57"/>
      <w:ind w:left="1134"/>
    </w:pPr>
  </w:style>
  <w:style w:type="paragraph" w:styleId="953">
    <w:name w:val="toc 6"/>
    <w:basedOn w:val="779"/>
    <w:next w:val="779"/>
    <w:uiPriority w:val="39"/>
    <w:unhideWhenUsed/>
    <w:pPr>
      <w:pBdr/>
      <w:spacing w:after="57"/>
      <w:ind w:left="1417"/>
    </w:pPr>
  </w:style>
  <w:style w:type="paragraph" w:styleId="954">
    <w:name w:val="toc 7"/>
    <w:basedOn w:val="779"/>
    <w:next w:val="779"/>
    <w:uiPriority w:val="39"/>
    <w:unhideWhenUsed/>
    <w:pPr>
      <w:pBdr/>
      <w:spacing w:after="57"/>
      <w:ind w:left="1701"/>
    </w:pPr>
  </w:style>
  <w:style w:type="paragraph" w:styleId="955">
    <w:name w:val="toc 8"/>
    <w:basedOn w:val="779"/>
    <w:next w:val="779"/>
    <w:uiPriority w:val="39"/>
    <w:unhideWhenUsed/>
    <w:pPr>
      <w:pBdr/>
      <w:spacing w:after="57"/>
      <w:ind w:left="1984"/>
    </w:pPr>
  </w:style>
  <w:style w:type="paragraph" w:styleId="956">
    <w:name w:val="toc 9"/>
    <w:basedOn w:val="779"/>
    <w:next w:val="779"/>
    <w:uiPriority w:val="39"/>
    <w:unhideWhenUsed/>
    <w:pPr>
      <w:pBdr/>
      <w:spacing w:after="57"/>
      <w:ind w:left="2268"/>
    </w:pPr>
  </w:style>
  <w:style w:type="paragraph" w:styleId="957">
    <w:name w:val="TOC Heading"/>
    <w:uiPriority w:val="39"/>
    <w:unhideWhenUsed/>
    <w:pPr>
      <w:pBdr/>
      <w:spacing/>
      <w:ind/>
    </w:pPr>
  </w:style>
  <w:style w:type="paragraph" w:styleId="958">
    <w:name w:val="table of figures"/>
    <w:basedOn w:val="779"/>
    <w:next w:val="779"/>
    <w:uiPriority w:val="99"/>
    <w:unhideWhenUsed/>
    <w:pPr>
      <w:pBdr/>
      <w:spacing w:after="0"/>
      <w:ind/>
    </w:pPr>
  </w:style>
  <w:style w:type="paragraph" w:styleId="959">
    <w:name w:val="No Spacing"/>
    <w:basedOn w:val="779"/>
    <w:uiPriority w:val="1"/>
    <w:qFormat/>
    <w:pPr>
      <w:pBdr/>
      <w:spacing w:after="0" w:line="240" w:lineRule="auto"/>
      <w:ind/>
    </w:pPr>
  </w:style>
  <w:style w:type="paragraph" w:styleId="960">
    <w:name w:val="List Paragraph"/>
    <w:basedOn w:val="779"/>
    <w:uiPriority w:val="34"/>
    <w:qFormat/>
    <w:pPr>
      <w:numPr>
        <w:ilvl w:val="0"/>
        <w:numId w:val="1"/>
      </w:numPr>
      <w:pBdr/>
      <w:spacing/>
      <w:ind w:hanging="357" w:left="1077"/>
      <w:contextualSpacing w:val="true"/>
    </w:pPr>
  </w:style>
  <w:style w:type="character" w:styleId="961">
    <w:name w:val="FollowedHyperlink"/>
    <w:basedOn w:val="7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2" w:customStyle="1">
    <w:name w:val="Nummerierung"/>
    <w:basedOn w:val="960"/>
    <w:qFormat/>
    <w:pPr>
      <w:numPr>
        <w:ilvl w:val="0"/>
        <w:numId w:val="4"/>
      </w:numPr>
      <w:pBdr/>
      <w:spacing/>
      <w:ind/>
    </w:pPr>
  </w:style>
  <w:style w:type="character" w:styleId="963">
    <w:name w:val="Unresolved Mention"/>
    <w:basedOn w:val="789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64">
    <w:name w:val="Balloon Text"/>
    <w:basedOn w:val="779"/>
    <w:link w:val="965"/>
    <w:uiPriority w:val="99"/>
    <w:semiHidden/>
    <w:unhideWhenUsed/>
    <w:pPr>
      <w:pBdr/>
      <w:spacing w:after="0" w:line="240" w:lineRule="auto"/>
      <w:ind/>
    </w:pPr>
    <w:rPr>
      <w:rFonts w:ascii="Times New Roman" w:hAnsi="Times New Roman" w:cs="Times New Roman"/>
      <w:sz w:val="18"/>
      <w:szCs w:val="18"/>
    </w:rPr>
  </w:style>
  <w:style w:type="character" w:styleId="965" w:customStyle="1">
    <w:name w:val="Sprechblasentext Zchn"/>
    <w:basedOn w:val="789"/>
    <w:link w:val="964"/>
    <w:uiPriority w:val="99"/>
    <w:semiHidden/>
    <w:pPr>
      <w:pBdr/>
      <w:spacing/>
      <w:ind/>
    </w:pPr>
    <w:rPr>
      <w:rFonts w:ascii="Times New Roman" w:hAnsi="Times New Roman" w:cs="Times New Roman"/>
      <w:sz w:val="18"/>
      <w:szCs w:val="18"/>
    </w:rPr>
  </w:style>
  <w:style w:type="numbering" w:styleId="966" w:customStyle="1">
    <w:name w:val="Formatvorlage1"/>
    <w:basedOn w:val="791"/>
    <w:uiPriority w:val="99"/>
    <w:pPr>
      <w:numPr>
        <w:ilvl w:val="0"/>
        <w:numId w:val="5"/>
      </w:numPr>
      <w:pBdr/>
      <w:spacing/>
      <w:ind/>
    </w:pPr>
  </w:style>
  <w:style w:type="numbering" w:styleId="967" w:customStyle="1">
    <w:name w:val="Liste_nummer"/>
    <w:basedOn w:val="791"/>
    <w:uiPriority w:val="99"/>
    <w:pPr>
      <w:numPr>
        <w:ilvl w:val="0"/>
        <w:numId w:val="6"/>
      </w:numPr>
      <w:pBdr/>
      <w:spacing/>
      <w:ind/>
    </w:pPr>
  </w:style>
  <w:style w:type="numbering" w:styleId="968" w:customStyle="1">
    <w:name w:val="NummerierungNeu"/>
    <w:basedOn w:val="791"/>
    <w:uiPriority w:val="99"/>
    <w:pPr>
      <w:numPr>
        <w:ilvl w:val="0"/>
        <w:numId w:val="7"/>
      </w:num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creativecommons.org/licenses/by/4.0/deed.de" TargetMode="External"/><Relationship Id="rId11" Type="http://schemas.openxmlformats.org/officeDocument/2006/relationships/hyperlink" Target="https://telucation.tugraz.at/06-imoox-at/" TargetMode="External"/><Relationship Id="rId12" Type="http://schemas.openxmlformats.org/officeDocument/2006/relationships/hyperlink" Target="https://telucation.tugraz.at/03-ergaenzung-virtuelle-lehre-satzungsteil/" TargetMode="External"/><Relationship Id="rId13" Type="http://schemas.openxmlformats.org/officeDocument/2006/relationships/hyperlink" Target="https://telucation.tugraz.at/lti/" TargetMode="External"/><Relationship Id="rId14" Type="http://schemas.openxmlformats.org/officeDocument/2006/relationships/hyperlink" Target="https://doi.org/10.3217/krjr3-0hh93" TargetMode="External"/><Relationship Id="rId15" Type="http://schemas.openxmlformats.org/officeDocument/2006/relationships/hyperlink" Target="http://office@imoox.at" TargetMode="External"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hyperlink" Target="https://telucation.tugraz.at/01-flipped-classroom-de/" TargetMode="External"/><Relationship Id="rId23" Type="http://schemas.openxmlformats.org/officeDocument/2006/relationships/image" Target="media/image7.png"/><Relationship Id="rId24" Type="http://schemas.openxmlformats.org/officeDocument/2006/relationships/image" Target="media/image8.png"/><Relationship Id="rId25" Type="http://schemas.openxmlformats.org/officeDocument/2006/relationships/hyperlink" Target="mailto:office@imoox.at" TargetMode="External"/><Relationship Id="rId26" Type="http://schemas.openxmlformats.org/officeDocument/2006/relationships/image" Target="media/image9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Didaktik #12 MOOcs in der eigenen Lehre nutzen, 8 Einsatzszenarien</dc:title>
  <dc:subject/>
  <dc:creator>TU Graz Lehr- und Lerntechnologien</dc:creator>
  <cp:keywords/>
  <dc:description/>
  <cp:lastModifiedBy>Edelsbrunner, Sarah (sarah.edelsbrunner@tugraz.at)</cp:lastModifiedBy>
  <cp:revision>39</cp:revision>
  <dcterms:created xsi:type="dcterms:W3CDTF">2021-06-14T13:51:00Z</dcterms:created>
  <dcterms:modified xsi:type="dcterms:W3CDTF">2025-01-10T09:32:44Z</dcterms:modified>
</cp:coreProperties>
</file>