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51F3" w14:textId="541EAA51" w:rsidR="002237B4" w:rsidRPr="00434CF0" w:rsidRDefault="0026094D" w:rsidP="00A63DE2">
      <w:pPr>
        <w:pStyle w:val="berschrift1"/>
      </w:pPr>
      <w:r>
        <w:t>Didaktik #13: Studierende aktivieren mit dem AVIVA-Schema. Interaktiv Lehren für aktives Lernen</w:t>
      </w:r>
    </w:p>
    <w:p w14:paraId="66029C22" w14:textId="64DFC1A2" w:rsidR="00ED281F" w:rsidRDefault="008D6DC3" w:rsidP="00AB15FE">
      <w:pPr>
        <w:pStyle w:val="Beschriftung"/>
      </w:pPr>
      <w:r>
        <w:t>Autor</w:t>
      </w:r>
      <w:r w:rsidR="00A14ACC">
        <w:t>:i</w:t>
      </w:r>
      <w:r>
        <w:t xml:space="preserve">nnen: </w:t>
      </w:r>
      <w:r w:rsidR="0026094D">
        <w:t>TU Graz Lehr- und Lerntechnologien, Teaching Academy</w:t>
      </w:r>
    </w:p>
    <w:p w14:paraId="0D2CC1C9" w14:textId="3DD26A5C" w:rsidR="009047D6" w:rsidRDefault="008D6DC3" w:rsidP="009047D6">
      <w:pPr>
        <w:pStyle w:val="Beschriftung"/>
      </w:pPr>
      <w:r>
        <w:t xml:space="preserve">Veröffentlichung: </w:t>
      </w:r>
      <w:r w:rsidR="0026094D">
        <w:t>Juni 2026</w:t>
      </w:r>
    </w:p>
    <w:p w14:paraId="0912F20C" w14:textId="77777777" w:rsidR="009047D6" w:rsidRDefault="009047D6" w:rsidP="009047D6">
      <w:pPr>
        <w:pStyle w:val="Beschriftung"/>
      </w:pPr>
    </w:p>
    <w:p w14:paraId="36DC686A" w14:textId="79B5F817" w:rsidR="00AB15FE" w:rsidRDefault="0065222D" w:rsidP="009047D6">
      <w:pPr>
        <w:pStyle w:val="Beschriftung"/>
      </w:pPr>
      <w:r>
        <w:rPr>
          <w:noProof/>
          <w14:ligatures w14:val="standardContextual"/>
        </w:rPr>
        <w:drawing>
          <wp:inline distT="0" distB="0" distL="0" distR="0" wp14:anchorId="376658E1" wp14:editId="2E907339">
            <wp:extent cx="5756910" cy="142875"/>
            <wp:effectExtent l="0" t="0" r="0" b="0"/>
            <wp:docPr id="625162920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62920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62AC0" w14:textId="32A4BD9E" w:rsidR="0026094D" w:rsidRPr="0026094D" w:rsidRDefault="0026094D" w:rsidP="0026094D">
      <w:pPr>
        <w:pStyle w:val="Flietext"/>
      </w:pPr>
      <w:r>
        <w:t>Interaktives Lehren in Präsenz und online bedeutet, Lehrinhalte unter möglichst aktiver</w:t>
      </w:r>
      <w:r>
        <w:t xml:space="preserve"> </w:t>
      </w:r>
      <w:r>
        <w:t>Beteiligung der Studierenden zu vermitteln und/oder im gemeinsamen Austausch mit</w:t>
      </w:r>
      <w:r>
        <w:t xml:space="preserve"> </w:t>
      </w:r>
      <w:r>
        <w:t>Studierenden zu arbeiten und so aktiv das Lernen zu fördern. Dabei spielen die Planung</w:t>
      </w:r>
      <w:r>
        <w:t xml:space="preserve"> </w:t>
      </w:r>
      <w:r>
        <w:t>und der Ablauf von</w:t>
      </w:r>
      <w:r>
        <w:t xml:space="preserve"> </w:t>
      </w:r>
      <w:r>
        <w:t>Lehrveranstaltungen eine entscheidende Rolle</w:t>
      </w:r>
      <w:r w:rsidR="00A8516C">
        <w:t>.</w:t>
      </w:r>
    </w:p>
    <w:p w14:paraId="409E6ADF" w14:textId="7B384869" w:rsidR="002237B4" w:rsidRDefault="0026094D" w:rsidP="00AB15FE">
      <w:pPr>
        <w:pStyle w:val="berschrift2"/>
      </w:pPr>
      <w:r>
        <w:t>Warum ist interaktives Lehren lernförderlich?</w:t>
      </w:r>
    </w:p>
    <w:p w14:paraId="5A7F7CBC" w14:textId="7E282910" w:rsidR="0026094D" w:rsidRDefault="0026094D" w:rsidP="0026094D">
      <w:pPr>
        <w:pStyle w:val="Flietext"/>
      </w:pPr>
      <w:r>
        <w:t>Eine (digitale) Lehrveranstaltung mit aktiver Beteiligung von Studierenden kann sich</w:t>
      </w:r>
      <w:r>
        <w:t xml:space="preserve"> </w:t>
      </w:r>
      <w:r>
        <w:t>positiv auf deren Motivation und damit auch den Lernerfolg auswirken. Wesentlich</w:t>
      </w:r>
      <w:r>
        <w:t xml:space="preserve"> </w:t>
      </w:r>
      <w:r>
        <w:t>dabei ist auch eine konkrete</w:t>
      </w:r>
      <w:r>
        <w:t xml:space="preserve"> </w:t>
      </w:r>
      <w:r>
        <w:t>Anleitung zum Lernen bzw. zum Lernvorgang.</w:t>
      </w:r>
    </w:p>
    <w:p w14:paraId="3E3AEB87" w14:textId="0551564A" w:rsidR="0026094D" w:rsidRDefault="0026094D" w:rsidP="0026094D">
      <w:pPr>
        <w:pStyle w:val="Flietext"/>
      </w:pPr>
      <w:r>
        <w:t>Ein interaktives Lehr-Lern-Setting ist jedenfalls förderlich, denn es ermöglicht</w:t>
      </w:r>
      <w:r>
        <w:t xml:space="preserve"> </w:t>
      </w:r>
      <w:r>
        <w:t>Studierenden eine gute kognitive Verarbeitung der Lehrinhalte.</w:t>
      </w:r>
    </w:p>
    <w:p w14:paraId="15A2E377" w14:textId="4ADB31E0" w:rsidR="0026094D" w:rsidRDefault="0026094D" w:rsidP="0026094D">
      <w:pPr>
        <w:pStyle w:val="Flietext"/>
      </w:pPr>
      <w:r>
        <w:t>Eine Möglichkeit dazu bietet das AVIVA-Schema (Städeli et al., 2010), das mit fünf</w:t>
      </w:r>
      <w:r>
        <w:t xml:space="preserve"> </w:t>
      </w:r>
      <w:r>
        <w:t>Phasen Ablauf, Gestaltung und Strukturierung eines effektvollen Unterrichts</w:t>
      </w:r>
      <w:r>
        <w:t xml:space="preserve"> </w:t>
      </w:r>
      <w:r>
        <w:t>umreißt und sowohl in der digitalen als auch in der Präsenzlehre als Struktur für</w:t>
      </w:r>
      <w:r>
        <w:t xml:space="preserve"> </w:t>
      </w:r>
      <w:r>
        <w:t>Lehreinheiten dienen kann. Dieses Schema ist an Ergebnisse der Lernpsychologie</w:t>
      </w:r>
      <w:r>
        <w:t xml:space="preserve"> </w:t>
      </w:r>
      <w:r>
        <w:t>über den Ablauf von Lernprozessen angelehnt.</w:t>
      </w:r>
    </w:p>
    <w:p w14:paraId="042CBEA2" w14:textId="7FA0339F" w:rsidR="0026094D" w:rsidRDefault="0026094D" w:rsidP="0026094D">
      <w:pPr>
        <w:pStyle w:val="Flietext"/>
      </w:pPr>
      <w:r>
        <w:t>So beschreibt beispielsweise das 3-Speicher-Modell von Atkinson/Shiffrin (1968) drei</w:t>
      </w:r>
      <w:r>
        <w:t xml:space="preserve"> </w:t>
      </w:r>
      <w:r>
        <w:t>Arten von Gedächtnis: ein sensorisches Gedächtnis, ein Kurzzeit- oder Arbeitsgedächtnis</w:t>
      </w:r>
      <w:r>
        <w:t xml:space="preserve"> </w:t>
      </w:r>
      <w:r>
        <w:t>und ein Langzeitgedächtnis.</w:t>
      </w:r>
    </w:p>
    <w:p w14:paraId="5BF07BCB" w14:textId="561ED114" w:rsidR="0026094D" w:rsidRDefault="0026094D" w:rsidP="0026094D">
      <w:pPr>
        <w:pStyle w:val="Flietext"/>
      </w:pPr>
      <w:r>
        <w:t>Damit neue Informationen in das Langzeitgedächtnis übergehen können, bedarf es</w:t>
      </w:r>
      <w:r>
        <w:t xml:space="preserve"> </w:t>
      </w:r>
      <w:r>
        <w:t>der Aufmerksamkeit von Studierenden, der Aktivierung von Vorwissen und Raum</w:t>
      </w:r>
      <w:r>
        <w:t xml:space="preserve"> </w:t>
      </w:r>
      <w:r>
        <w:t>zum Verarbeiten und Üben.</w:t>
      </w:r>
    </w:p>
    <w:p w14:paraId="1825E45F" w14:textId="72E2E768" w:rsidR="0026094D" w:rsidRDefault="0026094D" w:rsidP="0026094D">
      <w:pPr>
        <w:pStyle w:val="Flietext"/>
      </w:pPr>
      <w:r w:rsidRPr="0026094D">
        <w:rPr>
          <w:rStyle w:val="WICHTIGHervorhebungcharacter"/>
        </w:rPr>
        <w:lastRenderedPageBreak/>
        <w:t>Hinweis</w:t>
      </w:r>
      <w:r>
        <w:t xml:space="preserve">: </w:t>
      </w:r>
      <w:r>
        <w:t>Eine nach dem Prinzip des Constructive Alignment geplante</w:t>
      </w:r>
      <w:r>
        <w:t xml:space="preserve"> </w:t>
      </w:r>
      <w:r>
        <w:t>Lehrveranstaltung, in der Lernergebnisse, Leistungsüberprüfung und Lehr-Lernaktivitäten eng aufeinander abgestimmt</w:t>
      </w:r>
      <w:r>
        <w:t xml:space="preserve"> </w:t>
      </w:r>
      <w:r>
        <w:t>sind, ermöglicht, dass in interaktiven Lehr-Lern-Settings</w:t>
      </w:r>
      <w:r>
        <w:t xml:space="preserve"> </w:t>
      </w:r>
      <w:r>
        <w:t>tiefenorientiertes Lernen stattfindet.</w:t>
      </w:r>
    </w:p>
    <w:p w14:paraId="442B97E1" w14:textId="6F378B31" w:rsidR="0026094D" w:rsidRDefault="0026094D" w:rsidP="0026094D">
      <w:pPr>
        <w:pStyle w:val="berschrift2"/>
      </w:pPr>
      <w:r>
        <w:t>Die eigene Lehre mit dem AVIVA-Schema strukturieren</w:t>
      </w:r>
    </w:p>
    <w:p w14:paraId="2CFAFA18" w14:textId="499E3386" w:rsidR="0026094D" w:rsidRDefault="0026094D" w:rsidP="0026094D">
      <w:pPr>
        <w:pStyle w:val="Flietext"/>
      </w:pPr>
      <w:r>
        <w:t>D</w:t>
      </w:r>
      <w:r>
        <w:t>as Akronym AVIVA bezieht sich auf die Anfangsbuchstaben der fünf Phasen:</w:t>
      </w:r>
    </w:p>
    <w:p w14:paraId="33592923" w14:textId="56CAE623" w:rsidR="0026094D" w:rsidRDefault="0026094D" w:rsidP="0026094D">
      <w:pPr>
        <w:pStyle w:val="Flietext"/>
        <w:numPr>
          <w:ilvl w:val="0"/>
          <w:numId w:val="12"/>
        </w:numPr>
      </w:pPr>
      <w:r>
        <w:t>Ankommen/Ausrichten und Einstimmen</w:t>
      </w:r>
    </w:p>
    <w:p w14:paraId="7E8BE2F3" w14:textId="2AA19375" w:rsidR="0026094D" w:rsidRDefault="0026094D" w:rsidP="0026094D">
      <w:pPr>
        <w:pStyle w:val="Flietext"/>
        <w:numPr>
          <w:ilvl w:val="0"/>
          <w:numId w:val="12"/>
        </w:numPr>
      </w:pPr>
      <w:r>
        <w:t>Vorwissen aktivieren</w:t>
      </w:r>
    </w:p>
    <w:p w14:paraId="578E902B" w14:textId="13A2C0A7" w:rsidR="0026094D" w:rsidRDefault="0026094D" w:rsidP="0026094D">
      <w:pPr>
        <w:pStyle w:val="Flietext"/>
        <w:numPr>
          <w:ilvl w:val="0"/>
          <w:numId w:val="12"/>
        </w:numPr>
      </w:pPr>
      <w:r>
        <w:t>Informieren</w:t>
      </w:r>
    </w:p>
    <w:p w14:paraId="133DA042" w14:textId="65C595A4" w:rsidR="0026094D" w:rsidRDefault="0026094D" w:rsidP="0026094D">
      <w:pPr>
        <w:pStyle w:val="Flietext"/>
        <w:numPr>
          <w:ilvl w:val="0"/>
          <w:numId w:val="12"/>
        </w:numPr>
      </w:pPr>
      <w:r>
        <w:t>Verarbeiten</w:t>
      </w:r>
    </w:p>
    <w:p w14:paraId="134216F7" w14:textId="680A9FA6" w:rsidR="0026094D" w:rsidRDefault="0026094D" w:rsidP="0026094D">
      <w:pPr>
        <w:pStyle w:val="Flietext"/>
        <w:numPr>
          <w:ilvl w:val="0"/>
          <w:numId w:val="12"/>
        </w:numPr>
      </w:pPr>
      <w:r>
        <w:t>Auswerten</w:t>
      </w:r>
    </w:p>
    <w:p w14:paraId="685AE940" w14:textId="45B2D9E9" w:rsidR="0026094D" w:rsidRDefault="0026094D" w:rsidP="0026094D">
      <w:pPr>
        <w:pStyle w:val="Flietext"/>
      </w:pPr>
      <w:r>
        <w:t>wobei für die interaktive Lehre vor allem die Phasen 2, 3 und 4 („VIV”)</w:t>
      </w:r>
      <w:r>
        <w:t xml:space="preserve"> </w:t>
      </w:r>
      <w:r>
        <w:t>wichtig sind.</w:t>
      </w:r>
    </w:p>
    <w:p w14:paraId="7128B195" w14:textId="7350F7D2" w:rsidR="0026094D" w:rsidRPr="0026094D" w:rsidRDefault="0026094D" w:rsidP="0026094D">
      <w:pPr>
        <w:pStyle w:val="Flietext"/>
      </w:pPr>
      <w:r>
        <w:t>Mögliche Aktivitäten, verschiedene Sozialformen und Medien, um</w:t>
      </w:r>
      <w:r>
        <w:t xml:space="preserve"> </w:t>
      </w:r>
      <w:r>
        <w:t xml:space="preserve">alle Phasen lernförderlich zu gestalten, finden Sie im </w:t>
      </w:r>
      <w:hyperlink r:id="rId9" w:history="1">
        <w:r w:rsidRPr="00A8516C">
          <w:rPr>
            <w:rStyle w:val="Hyperlink"/>
          </w:rPr>
          <w:t>Münchner</w:t>
        </w:r>
        <w:r w:rsidRPr="00A8516C">
          <w:rPr>
            <w:rStyle w:val="Hyperlink"/>
          </w:rPr>
          <w:t xml:space="preserve"> </w:t>
        </w:r>
        <w:r w:rsidRPr="00A8516C">
          <w:rPr>
            <w:rStyle w:val="Hyperlink"/>
          </w:rPr>
          <w:t>Methodenkasten</w:t>
        </w:r>
      </w:hyperlink>
      <w:r>
        <w:t>.</w:t>
      </w:r>
    </w:p>
    <w:p w14:paraId="1876C7FA" w14:textId="6AA72AB9" w:rsidR="002237B4" w:rsidRDefault="0026094D" w:rsidP="00A63DE2">
      <w:pPr>
        <w:pStyle w:val="berschrift3"/>
        <w:rPr>
          <w:color w:val="000000"/>
        </w:rPr>
      </w:pPr>
      <w:r>
        <w:rPr>
          <w:color w:val="000000"/>
        </w:rPr>
        <w:t>Ankommen und Einstimmen</w:t>
      </w:r>
    </w:p>
    <w:p w14:paraId="61431705" w14:textId="73955E79" w:rsidR="0026094D" w:rsidRPr="0026094D" w:rsidRDefault="0026094D" w:rsidP="0026094D">
      <w:pPr>
        <w:pStyle w:val="Flietext"/>
      </w:pPr>
      <w:r>
        <w:t>Di</w:t>
      </w:r>
      <w:r>
        <w:t>e Studierenden sollen auf das Thema der Unterrichtseinheit eingestimmt werden.</w:t>
      </w:r>
      <w:r>
        <w:t xml:space="preserve"> </w:t>
      </w:r>
      <w:r>
        <w:t>Ein interaktives Beispiel zur Einstimmung wäre eine Blitzlicht-Runde, in der sich</w:t>
      </w:r>
      <w:r>
        <w:t xml:space="preserve"> </w:t>
      </w:r>
      <w:r>
        <w:t>Studierende kurz äußern, was sie zum besagten Thema erwarten. Dies kann mündlich</w:t>
      </w:r>
      <w:r>
        <w:t xml:space="preserve"> </w:t>
      </w:r>
      <w:r>
        <w:t>im Plenum oder mithilfe von Wortwolken erfolgen, auch in der digitalen Lehre.</w:t>
      </w:r>
    </w:p>
    <w:p w14:paraId="012CC1FE" w14:textId="5A361815" w:rsidR="0026094D" w:rsidRDefault="0026094D" w:rsidP="0026094D">
      <w:pPr>
        <w:pStyle w:val="berschrift3"/>
      </w:pPr>
      <w:r>
        <w:t>Vorwissen aktivieren</w:t>
      </w:r>
    </w:p>
    <w:p w14:paraId="464582EA" w14:textId="169CAA88" w:rsidR="0026094D" w:rsidRDefault="0026094D" w:rsidP="0026094D">
      <w:pPr>
        <w:pStyle w:val="Flietext"/>
      </w:pPr>
      <w:r>
        <w:t>I</w:t>
      </w:r>
      <w:r>
        <w:t>m Sinne des 3-Speicher-Modells sollten Lehrpersonen an das bereits vorhandene</w:t>
      </w:r>
      <w:r>
        <w:t xml:space="preserve"> </w:t>
      </w:r>
      <w:r>
        <w:t>Wissen der Studierenden anknüpfen, um tiefenorientiertes Lernen zu</w:t>
      </w:r>
      <w:r>
        <w:t xml:space="preserve"> </w:t>
      </w:r>
      <w:r>
        <w:t>ermöglichen.</w:t>
      </w:r>
    </w:p>
    <w:p w14:paraId="5225204A" w14:textId="255773DD" w:rsidR="0026094D" w:rsidRDefault="0026094D" w:rsidP="0026094D">
      <w:pPr>
        <w:pStyle w:val="Flietext"/>
      </w:pPr>
      <w:r>
        <w:t xml:space="preserve">Zur Aktivierung von Vorwissen können beispielsweise </w:t>
      </w:r>
      <w:proofErr w:type="spellStart"/>
      <w:r>
        <w:t>Audience</w:t>
      </w:r>
      <w:proofErr w:type="spellEnd"/>
      <w:r>
        <w:t>-Response-Systeme oder Murmelgruppen eingesetzt werden. Murmelgruppen sind eine</w:t>
      </w:r>
      <w:r>
        <w:t xml:space="preserve"> </w:t>
      </w:r>
      <w:r>
        <w:t>aktivierende Lehr-Lern-Methode, bei der sich meist zwei bis drei</w:t>
      </w:r>
      <w:r>
        <w:t xml:space="preserve"> </w:t>
      </w:r>
      <w:r>
        <w:t>Studierende für drei bis max. fünf Minuten über eine Frage oder ein Thema</w:t>
      </w:r>
      <w:r>
        <w:t xml:space="preserve"> </w:t>
      </w:r>
      <w:r>
        <w:t>austauschen.</w:t>
      </w:r>
    </w:p>
    <w:p w14:paraId="38D3EFD7" w14:textId="04402842" w:rsidR="0026094D" w:rsidRDefault="0026094D" w:rsidP="0026094D">
      <w:pPr>
        <w:pStyle w:val="Flietext"/>
      </w:pPr>
      <w:r>
        <w:lastRenderedPageBreak/>
        <w:t>Dies ist sowohl online in Breakout-Räumen als auch in Präsenz leicht</w:t>
      </w:r>
      <w:r>
        <w:t xml:space="preserve"> </w:t>
      </w:r>
      <w:r>
        <w:t xml:space="preserve">umsetzbar. Murmelgruppen und </w:t>
      </w:r>
      <w:proofErr w:type="spellStart"/>
      <w:r>
        <w:t>Audience</w:t>
      </w:r>
      <w:proofErr w:type="spellEnd"/>
      <w:r>
        <w:t>-Response-Systeme können auch</w:t>
      </w:r>
      <w:r>
        <w:t xml:space="preserve"> </w:t>
      </w:r>
      <w:r>
        <w:t>kombiniert werden</w:t>
      </w:r>
      <w:r w:rsidR="00A8516C">
        <w:t>.</w:t>
      </w:r>
    </w:p>
    <w:p w14:paraId="5603D513" w14:textId="319916E5" w:rsidR="00A8516C" w:rsidRPr="0026094D" w:rsidRDefault="00A8516C" w:rsidP="0026094D">
      <w:pPr>
        <w:pStyle w:val="Flietext"/>
      </w:pPr>
      <w:r w:rsidRPr="00A8516C">
        <w:rPr>
          <w:rStyle w:val="WICHTIGHervorhebungcharacter"/>
        </w:rPr>
        <w:t>Hinweis</w:t>
      </w:r>
      <w:r>
        <w:t xml:space="preserve">: </w:t>
      </w:r>
      <w:r w:rsidRPr="00A8516C">
        <w:t xml:space="preserve">Weitere Informationen zu </w:t>
      </w:r>
      <w:proofErr w:type="spellStart"/>
      <w:r w:rsidRPr="00A8516C">
        <w:t>Audience</w:t>
      </w:r>
      <w:proofErr w:type="spellEnd"/>
      <w:r w:rsidRPr="00A8516C">
        <w:t xml:space="preserve">-Response-Systemen finden Sie auch in der Rubrik Didaktik im </w:t>
      </w:r>
      <w:hyperlink r:id="rId10" w:history="1">
        <w:r w:rsidRPr="00A8516C">
          <w:rPr>
            <w:rStyle w:val="Hyperlink"/>
          </w:rPr>
          <w:t xml:space="preserve">Beitrag #03 </w:t>
        </w:r>
        <w:proofErr w:type="spellStart"/>
        <w:r w:rsidRPr="00A8516C">
          <w:rPr>
            <w:rStyle w:val="Hyperlink"/>
          </w:rPr>
          <w:t>Audience</w:t>
        </w:r>
        <w:proofErr w:type="spellEnd"/>
        <w:r w:rsidRPr="00A8516C">
          <w:rPr>
            <w:rStyle w:val="Hyperlink"/>
          </w:rPr>
          <w:t>-Response-Systeme</w:t>
        </w:r>
      </w:hyperlink>
      <w:r w:rsidRPr="00A8516C">
        <w:t>.</w:t>
      </w:r>
    </w:p>
    <w:p w14:paraId="7FF5BA5A" w14:textId="6FE67D14" w:rsidR="0026094D" w:rsidRDefault="0026094D" w:rsidP="0026094D">
      <w:pPr>
        <w:pStyle w:val="berschrift3"/>
      </w:pPr>
      <w:r>
        <w:t>Informieren</w:t>
      </w:r>
    </w:p>
    <w:p w14:paraId="510722EA" w14:textId="77777777" w:rsidR="0026094D" w:rsidRDefault="0026094D" w:rsidP="0026094D">
      <w:pPr>
        <w:pStyle w:val="Flietext"/>
      </w:pPr>
      <w:r>
        <w:t>Die Erarbeitung neuer Wissensbestände erfolgt durch das Anknüpfen</w:t>
      </w:r>
      <w:r>
        <w:t xml:space="preserve"> </w:t>
      </w:r>
      <w:r>
        <w:t>an Bekanntes bzw. Vorwissen und bildet gemeinsam mit der Wissenskonstruktion die Basis für nachhaltigen Wissens- und Kompetenzaufbau.</w:t>
      </w:r>
    </w:p>
    <w:p w14:paraId="009EFAF0" w14:textId="77777777" w:rsidR="0026094D" w:rsidRDefault="0026094D" w:rsidP="0026094D">
      <w:pPr>
        <w:pStyle w:val="Flietext"/>
      </w:pPr>
      <w:r>
        <w:t>Ein Beispiel für eine interaktive Methode zur Aneignung neuer Inhalte ist das</w:t>
      </w:r>
      <w:r>
        <w:t xml:space="preserve"> </w:t>
      </w:r>
      <w:r>
        <w:t>Gruppenpuzzle, bei dem Lernende verschiedene Teilthemen bearbeiten und</w:t>
      </w:r>
      <w:r>
        <w:t xml:space="preserve"> </w:t>
      </w:r>
      <w:r>
        <w:t>ihr Wissen anschließend in Gruppen zusammenführen.</w:t>
      </w:r>
      <w:r>
        <w:t xml:space="preserve"> </w:t>
      </w:r>
    </w:p>
    <w:p w14:paraId="3C5648E8" w14:textId="19A5FB6E" w:rsidR="0026094D" w:rsidRDefault="0026094D" w:rsidP="0026094D">
      <w:pPr>
        <w:pStyle w:val="Flietext"/>
      </w:pPr>
      <w:r>
        <w:t>Eine weitere, kürzere Aktivität ist die True/</w:t>
      </w:r>
      <w:proofErr w:type="spellStart"/>
      <w:r>
        <w:t>False</w:t>
      </w:r>
      <w:proofErr w:type="spellEnd"/>
      <w:r>
        <w:t>-Methode, bei der die Studierenden</w:t>
      </w:r>
      <w:r>
        <w:t xml:space="preserve"> </w:t>
      </w:r>
      <w:r>
        <w:t>Aussagen zu einem Thema als wahr oder falsch markieren. Falsche Aussagen werden</w:t>
      </w:r>
      <w:r>
        <w:t xml:space="preserve"> </w:t>
      </w:r>
      <w:r>
        <w:t xml:space="preserve">von ihnen korrigiert und Antworten per </w:t>
      </w:r>
      <w:proofErr w:type="spellStart"/>
      <w:r>
        <w:t>Audience</w:t>
      </w:r>
      <w:proofErr w:type="spellEnd"/>
      <w:r>
        <w:t>-Response-System abgeglichen, um</w:t>
      </w:r>
      <w:r>
        <w:t xml:space="preserve"> </w:t>
      </w:r>
      <w:r>
        <w:t>Missverständnisse sichtbar zu machen.</w:t>
      </w:r>
    </w:p>
    <w:p w14:paraId="59C12392" w14:textId="79B87EB7" w:rsidR="00A8516C" w:rsidRPr="00A8516C" w:rsidRDefault="00A8516C" w:rsidP="00A8516C">
      <w:pPr>
        <w:pStyle w:val="Flietext"/>
      </w:pPr>
      <w:r w:rsidRPr="00A8516C">
        <w:rPr>
          <w:rStyle w:val="WICHTIGHervorhebungcharacter"/>
        </w:rPr>
        <w:t>Hinweis</w:t>
      </w:r>
      <w:r>
        <w:rPr>
          <w:rStyle w:val="Fett"/>
          <w:b w:val="0"/>
          <w:bCs w:val="0"/>
        </w:rPr>
        <w:t xml:space="preserve">: </w:t>
      </w:r>
      <w:r w:rsidRPr="00A8516C">
        <w:rPr>
          <w:rStyle w:val="Fett"/>
          <w:b w:val="0"/>
          <w:bCs w:val="0"/>
        </w:rPr>
        <w:t xml:space="preserve">Weitere Informationen zum Gruppenpuzzle finden Sie auch in der Rubrik Didaktik im </w:t>
      </w:r>
      <w:hyperlink r:id="rId11" w:tgtFrame="_blank" w:history="1">
        <w:r w:rsidRPr="00A8516C">
          <w:rPr>
            <w:rStyle w:val="Hyperlink"/>
          </w:rPr>
          <w:t>Beitrag #08 Gruppenpuzzle</w:t>
        </w:r>
      </w:hyperlink>
      <w:r w:rsidRPr="00A8516C">
        <w:rPr>
          <w:rStyle w:val="Fett"/>
          <w:b w:val="0"/>
          <w:bCs w:val="0"/>
        </w:rPr>
        <w:t>.</w:t>
      </w:r>
    </w:p>
    <w:p w14:paraId="17464993" w14:textId="44F1F5F1" w:rsidR="0026094D" w:rsidRDefault="0026094D" w:rsidP="0026094D">
      <w:pPr>
        <w:pStyle w:val="berschrift3"/>
      </w:pPr>
      <w:r>
        <w:t>Verarbeiten</w:t>
      </w:r>
    </w:p>
    <w:p w14:paraId="3E1C71EF" w14:textId="6FA022DF" w:rsidR="0026094D" w:rsidRDefault="0026094D" w:rsidP="0026094D">
      <w:pPr>
        <w:pStyle w:val="Flietext"/>
      </w:pPr>
      <w:r>
        <w:t>Neu erworbenes Wissen muss mittels Anwendung kognitiv verarbeitet werden</w:t>
      </w:r>
      <w:r>
        <w:t xml:space="preserve"> </w:t>
      </w:r>
      <w:r>
        <w:t>und so ins Langzeitgedächtnis übergehen. Interaktive Lehre unterstützt diesen</w:t>
      </w:r>
      <w:r>
        <w:t xml:space="preserve"> </w:t>
      </w:r>
      <w:r>
        <w:t>Prozess durch vertiefende Übungen, die an die Erarbeitung neuer Inhalte und</w:t>
      </w:r>
      <w:r>
        <w:t xml:space="preserve"> </w:t>
      </w:r>
      <w:r>
        <w:t>Fertigkeiten anschließen.</w:t>
      </w:r>
    </w:p>
    <w:p w14:paraId="3D2776CA" w14:textId="643A2573" w:rsidR="0026094D" w:rsidRDefault="0026094D" w:rsidP="0026094D">
      <w:pPr>
        <w:pStyle w:val="Flietext"/>
      </w:pPr>
      <w:r>
        <w:t xml:space="preserve">Ein Tipp für eine Aktivität zur Vertiefung in Onlinesettings ist das </w:t>
      </w:r>
      <w:proofErr w:type="spellStart"/>
      <w:r>
        <w:t>StudentQuiz</w:t>
      </w:r>
      <w:proofErr w:type="spellEnd"/>
      <w:r>
        <w:t>,</w:t>
      </w:r>
      <w:r>
        <w:t xml:space="preserve"> </w:t>
      </w:r>
      <w:r>
        <w:t>bei dem Lernende selbst Fragen erstellen und die Fragen anderer beantworten</w:t>
      </w:r>
      <w:r>
        <w:t xml:space="preserve"> </w:t>
      </w:r>
      <w:r>
        <w:t>können.</w:t>
      </w:r>
    </w:p>
    <w:p w14:paraId="4AD9831B" w14:textId="7D6B8F0C" w:rsidR="00A8516C" w:rsidRPr="0026094D" w:rsidRDefault="00A8516C" w:rsidP="0026094D">
      <w:pPr>
        <w:pStyle w:val="Flietext"/>
      </w:pPr>
      <w:r w:rsidRPr="00A8516C">
        <w:rPr>
          <w:rStyle w:val="WICHTIGHervorhebungcharacter"/>
        </w:rPr>
        <w:t>Hinweis</w:t>
      </w:r>
      <w:r>
        <w:t xml:space="preserve">: </w:t>
      </w:r>
      <w:r w:rsidRPr="00A8516C">
        <w:t xml:space="preserve">Weitere Informationen zum </w:t>
      </w:r>
      <w:proofErr w:type="spellStart"/>
      <w:r w:rsidRPr="00A8516C">
        <w:t>StudentQuiz</w:t>
      </w:r>
      <w:proofErr w:type="spellEnd"/>
      <w:r w:rsidRPr="00A8516C">
        <w:t xml:space="preserve"> finden Sie auch in der Rubrik Didaktik im Beitrag </w:t>
      </w:r>
      <w:hyperlink r:id="rId12" w:history="1">
        <w:r w:rsidRPr="00A8516C">
          <w:rPr>
            <w:rStyle w:val="Hyperlink"/>
          </w:rPr>
          <w:t xml:space="preserve">#07 Lernen mit dem </w:t>
        </w:r>
        <w:proofErr w:type="spellStart"/>
        <w:r w:rsidRPr="00A8516C">
          <w:rPr>
            <w:rStyle w:val="Hyperlink"/>
          </w:rPr>
          <w:t>StudentQuiz</w:t>
        </w:r>
        <w:proofErr w:type="spellEnd"/>
      </w:hyperlink>
      <w:r w:rsidRPr="00A8516C">
        <w:t>.</w:t>
      </w:r>
    </w:p>
    <w:p w14:paraId="4D505E2F" w14:textId="624213B4" w:rsidR="0026094D" w:rsidRDefault="0026094D" w:rsidP="0026094D">
      <w:pPr>
        <w:pStyle w:val="berschrift3"/>
      </w:pPr>
      <w:r>
        <w:t>Auswerten</w:t>
      </w:r>
    </w:p>
    <w:p w14:paraId="3D68A318" w14:textId="4834498A" w:rsidR="0026094D" w:rsidRDefault="0026094D" w:rsidP="0026094D">
      <w:pPr>
        <w:pStyle w:val="Flietext"/>
      </w:pPr>
      <w:r>
        <w:t>I</w:t>
      </w:r>
      <w:r>
        <w:t>n der letzten Phase soll einerseits geprüft werden, was die Studierenden gelernt haben,</w:t>
      </w:r>
      <w:r>
        <w:t xml:space="preserve"> </w:t>
      </w:r>
      <w:r>
        <w:t>andererseits soll Feedback über die Lehrveranstaltungseinheit eingeholt werden.</w:t>
      </w:r>
    </w:p>
    <w:p w14:paraId="2B976E7A" w14:textId="32CC9916" w:rsidR="0026094D" w:rsidRDefault="0026094D" w:rsidP="0026094D">
      <w:pPr>
        <w:pStyle w:val="Flietext"/>
      </w:pPr>
      <w:r>
        <w:t>Die Wissensabfrage kann mittels Testaktivität im TU Graz TeachCenter (Exam) erfolgen.</w:t>
      </w:r>
      <w:r>
        <w:t xml:space="preserve"> </w:t>
      </w:r>
      <w:r>
        <w:t xml:space="preserve">Zusätzlich können </w:t>
      </w:r>
      <w:proofErr w:type="spellStart"/>
      <w:r>
        <w:t>Audience</w:t>
      </w:r>
      <w:proofErr w:type="spellEnd"/>
      <w:r>
        <w:t>-Response-Systeme zur Reflexion verwendet werden.</w:t>
      </w:r>
    </w:p>
    <w:p w14:paraId="6AF93C5E" w14:textId="0D2403D5" w:rsidR="0026094D" w:rsidRDefault="0026094D" w:rsidP="0026094D">
      <w:pPr>
        <w:pStyle w:val="Flietext"/>
      </w:pPr>
      <w:r w:rsidRPr="0026094D">
        <w:rPr>
          <w:rStyle w:val="WICHTIGHervorhebungcharacter"/>
        </w:rPr>
        <w:lastRenderedPageBreak/>
        <w:t>Hinweis</w:t>
      </w:r>
      <w:r>
        <w:t>: I</w:t>
      </w:r>
      <w:r>
        <w:t>n der praktischen Ausführung des AVIVA-Schemas kann es zu Mischformen</w:t>
      </w:r>
      <w:r>
        <w:t xml:space="preserve"> </w:t>
      </w:r>
      <w:r>
        <w:t>der fünf Phasen kommen und diese sollen, je nach Bedarf, in die</w:t>
      </w:r>
      <w:r>
        <w:t xml:space="preserve"> </w:t>
      </w:r>
      <w:r>
        <w:t>Lehrplanung integriert werden. Die drei Phasen „VIV” können sich im Laufe</w:t>
      </w:r>
      <w:r>
        <w:t xml:space="preserve"> </w:t>
      </w:r>
      <w:r>
        <w:t>einer Unterrichtseinheit und vor allem bei der Bearbeitung von neuen</w:t>
      </w:r>
      <w:r>
        <w:t xml:space="preserve"> </w:t>
      </w:r>
      <w:r>
        <w:t>Inhalten wiederholen.</w:t>
      </w:r>
    </w:p>
    <w:p w14:paraId="3F9C157D" w14:textId="245EC428" w:rsidR="0026094D" w:rsidRDefault="0026094D" w:rsidP="0026094D">
      <w:pPr>
        <w:pStyle w:val="berschrift2"/>
      </w:pPr>
      <w:r>
        <w:t>Quellen und weiterführende Literatur</w:t>
      </w:r>
    </w:p>
    <w:p w14:paraId="1450B3FA" w14:textId="37747BF9" w:rsidR="0026094D" w:rsidRDefault="0026094D" w:rsidP="0026094D">
      <w:pPr>
        <w:pStyle w:val="Flietext"/>
      </w:pPr>
      <w:proofErr w:type="spellStart"/>
      <w:r>
        <w:t>Antosch-Bardohn</w:t>
      </w:r>
      <w:proofErr w:type="spellEnd"/>
      <w:r>
        <w:t>, J. &amp; Meyer, B. E. (2017). Lehrmethoden für die</w:t>
      </w:r>
      <w:r>
        <w:t xml:space="preserve"> </w:t>
      </w:r>
      <w:r>
        <w:t>Hochschullehre. In: Neues Handbuch Hochschullehre (Nummer 83, S. 49-68).</w:t>
      </w:r>
    </w:p>
    <w:p w14:paraId="05364ADD" w14:textId="0284F66E" w:rsidR="0026094D" w:rsidRPr="0026094D" w:rsidRDefault="0026094D" w:rsidP="0026094D">
      <w:pPr>
        <w:pStyle w:val="Flietext"/>
        <w:rPr>
          <w:lang w:val="en-GB"/>
        </w:rPr>
      </w:pPr>
      <w:r w:rsidRPr="0026094D">
        <w:rPr>
          <w:lang w:val="en-GB"/>
        </w:rPr>
        <w:t>Atkinson, R. C., &amp; Shiffrin, R. M. (1968). Human memory: A proposed</w:t>
      </w:r>
      <w:r>
        <w:rPr>
          <w:lang w:val="en-GB"/>
        </w:rPr>
        <w:t xml:space="preserve"> </w:t>
      </w:r>
      <w:r w:rsidRPr="0026094D">
        <w:rPr>
          <w:lang w:val="en-GB"/>
        </w:rPr>
        <w:t>system and its control processes. In: K. W. Spence &amp; J. T. Spence (Eds.), The</w:t>
      </w:r>
      <w:r>
        <w:rPr>
          <w:lang w:val="en-GB"/>
        </w:rPr>
        <w:t xml:space="preserve"> </w:t>
      </w:r>
      <w:r w:rsidRPr="0026094D">
        <w:rPr>
          <w:lang w:val="en-GB"/>
        </w:rPr>
        <w:t>psychology of learning and motivation: Advances in research and theory</w:t>
      </w:r>
      <w:r>
        <w:rPr>
          <w:lang w:val="en-GB"/>
        </w:rPr>
        <w:t xml:space="preserve"> </w:t>
      </w:r>
      <w:r w:rsidRPr="0026094D">
        <w:rPr>
          <w:lang w:val="en-GB"/>
        </w:rPr>
        <w:t>(Vol. 2, S. 89–195). Academic Press.</w:t>
      </w:r>
    </w:p>
    <w:p w14:paraId="29AF962B" w14:textId="78CE86AF" w:rsidR="0026094D" w:rsidRPr="0026094D" w:rsidRDefault="0026094D" w:rsidP="0026094D">
      <w:pPr>
        <w:pStyle w:val="Flietext"/>
        <w:rPr>
          <w:lang w:val="en-GB"/>
        </w:rPr>
      </w:pPr>
      <w:r w:rsidRPr="0026094D">
        <w:rPr>
          <w:lang w:val="en-GB"/>
        </w:rPr>
        <w:t>Biggs, J. (2014): Constructive alignment in university teaching. HERDSA</w:t>
      </w:r>
      <w:r>
        <w:rPr>
          <w:lang w:val="en-GB"/>
        </w:rPr>
        <w:t xml:space="preserve"> </w:t>
      </w:r>
      <w:r w:rsidRPr="0026094D">
        <w:rPr>
          <w:lang w:val="en-GB"/>
        </w:rPr>
        <w:t>Review of Higher Education (Vol. 1, S. 5–22).</w:t>
      </w:r>
    </w:p>
    <w:p w14:paraId="6C0A8441" w14:textId="1CDC8A46" w:rsidR="002237B4" w:rsidRDefault="0026094D" w:rsidP="0026094D">
      <w:pPr>
        <w:pStyle w:val="Flietext"/>
      </w:pPr>
      <w:proofErr w:type="spellStart"/>
      <w:r w:rsidRPr="0026094D">
        <w:rPr>
          <w:lang w:val="en-GB"/>
        </w:rPr>
        <w:t>Städeli</w:t>
      </w:r>
      <w:proofErr w:type="spellEnd"/>
      <w:r w:rsidRPr="0026094D">
        <w:rPr>
          <w:lang w:val="en-GB"/>
        </w:rPr>
        <w:t xml:space="preserve">, C., Grassi, A., Rhiner, K., &amp; Obrist, W. (2010). </w:t>
      </w:r>
      <w:r>
        <w:t>Kompetenzorientiert</w:t>
      </w:r>
      <w:r>
        <w:t xml:space="preserve"> </w:t>
      </w:r>
      <w:r>
        <w:t xml:space="preserve">unterrichten: Das AVIVA-Modell. </w:t>
      </w:r>
      <w:proofErr w:type="spellStart"/>
      <w:r>
        <w:t>hep</w:t>
      </w:r>
      <w:proofErr w:type="spellEnd"/>
      <w:r>
        <w:t>.</w:t>
      </w:r>
    </w:p>
    <w:sectPr w:rsidR="002237B4">
      <w:headerReference w:type="default" r:id="rId13"/>
      <w:footerReference w:type="default" r:id="rId14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C43D" w14:textId="77777777" w:rsidR="00893263" w:rsidRDefault="00893263">
      <w:pPr>
        <w:spacing w:line="240" w:lineRule="auto"/>
      </w:pPr>
      <w:r>
        <w:separator/>
      </w:r>
    </w:p>
    <w:p w14:paraId="25FC39A5" w14:textId="77777777" w:rsidR="00893263" w:rsidRDefault="00893263"/>
    <w:p w14:paraId="583C2E7B" w14:textId="77777777" w:rsidR="00893263" w:rsidRDefault="00893263"/>
  </w:endnote>
  <w:endnote w:type="continuationSeparator" w:id="0">
    <w:p w14:paraId="21922A49" w14:textId="77777777" w:rsidR="00893263" w:rsidRDefault="00893263">
      <w:pPr>
        <w:spacing w:line="240" w:lineRule="auto"/>
      </w:pPr>
      <w:r>
        <w:continuationSeparator/>
      </w:r>
    </w:p>
    <w:p w14:paraId="7F6CF055" w14:textId="77777777" w:rsidR="00893263" w:rsidRDefault="00893263"/>
    <w:p w14:paraId="114CE777" w14:textId="77777777" w:rsidR="00893263" w:rsidRDefault="00893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Calibri"/>
    <w:panose1 w:val="020B0604020202020204"/>
    <w:charset w:val="00"/>
    <w:family w:val="swiss"/>
    <w:pitch w:val="variable"/>
    <w:sig w:usb0="0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75FC" w14:textId="716A48DD" w:rsidR="002237B4" w:rsidRPr="00A14ACC" w:rsidRDefault="00000000" w:rsidP="00ED281F">
    <w:pPr>
      <w:pStyle w:val="Fuzeile"/>
    </w:pPr>
    <w:r w:rsidRPr="00A14ACC">
      <w:t>CC BY 4.0 International</w:t>
    </w:r>
    <w:r w:rsidR="00A14ACC" w:rsidRPr="00A14ACC">
      <w:t xml:space="preserve"> TU Graz Lehr- und Lerntechnologien</w:t>
    </w:r>
    <w:r w:rsidR="00A8516C">
      <w:t xml:space="preserve"> + Teaching Academy</w:t>
    </w:r>
    <w:r w:rsidR="00A14ACC">
      <w:t>,</w:t>
    </w:r>
    <w:r w:rsidR="00A14ACC" w:rsidRPr="00A14ACC">
      <w:t xml:space="preserve"> </w:t>
    </w:r>
    <w:hyperlink r:id="rId1" w:history="1">
      <w:r w:rsidR="00A8516C" w:rsidRPr="00DF56BD">
        <w:rPr>
          <w:rStyle w:val="Hyperlink"/>
          <w:rFonts w:ascii="Arial" w:hAnsi="Arial"/>
        </w:rPr>
        <w:t>https://creativecommons.org/licenses/by/4.0/</w:t>
      </w:r>
    </w:hyperlink>
    <w:r w:rsidRPr="00A14ACC">
      <w:tab/>
    </w:r>
    <w:r w:rsidR="00A8516C">
      <w:tab/>
    </w:r>
    <w:r w:rsidRPr="00A14ACC">
      <w:t xml:space="preserve">Seite </w:t>
    </w:r>
    <w:r>
      <w:fldChar w:fldCharType="begin"/>
    </w:r>
    <w:r w:rsidRPr="00A14ACC">
      <w:instrText>PAGE \* MERGEFORMAT</w:instrText>
    </w:r>
    <w:r>
      <w:fldChar w:fldCharType="separate"/>
    </w:r>
    <w:r w:rsidRPr="00A14ACC">
      <w:t>1</w:t>
    </w:r>
    <w:r>
      <w:fldChar w:fldCharType="end"/>
    </w:r>
    <w:r w:rsidRPr="00A14ACC">
      <w:t xml:space="preserve"> von </w:t>
    </w:r>
    <w:r w:rsidR="002237B4">
      <w:fldChar w:fldCharType="begin"/>
    </w:r>
    <w:r w:rsidR="002237B4" w:rsidRPr="00A14ACC">
      <w:instrText>NUMPAGES \* MERGEFORMAT</w:instrText>
    </w:r>
    <w:r w:rsidR="002237B4">
      <w:fldChar w:fldCharType="separate"/>
    </w:r>
    <w:r w:rsidR="002237B4" w:rsidRPr="00A14ACC">
      <w:t>2</w:t>
    </w:r>
    <w:r w:rsidR="002237B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B3CD" w14:textId="77777777" w:rsidR="00893263" w:rsidRDefault="00893263">
      <w:pPr>
        <w:spacing w:line="240" w:lineRule="auto"/>
      </w:pPr>
      <w:r>
        <w:separator/>
      </w:r>
    </w:p>
    <w:p w14:paraId="44297FE9" w14:textId="77777777" w:rsidR="00893263" w:rsidRDefault="00893263"/>
    <w:p w14:paraId="071CEF94" w14:textId="77777777" w:rsidR="00893263" w:rsidRDefault="00893263"/>
  </w:footnote>
  <w:footnote w:type="continuationSeparator" w:id="0">
    <w:p w14:paraId="69A5856C" w14:textId="77777777" w:rsidR="00893263" w:rsidRDefault="00893263">
      <w:pPr>
        <w:spacing w:line="240" w:lineRule="auto"/>
      </w:pPr>
      <w:r>
        <w:continuationSeparator/>
      </w:r>
    </w:p>
    <w:p w14:paraId="0DFC7700" w14:textId="77777777" w:rsidR="00893263" w:rsidRDefault="00893263"/>
    <w:p w14:paraId="296DEAA8" w14:textId="77777777" w:rsidR="00893263" w:rsidRDefault="00893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4871" w14:textId="77777777" w:rsidR="002237B4" w:rsidRDefault="00000000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05C13" wp14:editId="1BDC6803">
          <wp:simplePos x="0" y="0"/>
          <wp:positionH relativeFrom="column">
            <wp:posOffset>4326255</wp:posOffset>
          </wp:positionH>
          <wp:positionV relativeFrom="paragraph">
            <wp:posOffset>-93980</wp:posOffset>
          </wp:positionV>
          <wp:extent cx="2047875" cy="546100"/>
          <wp:effectExtent l="0" t="0" r="0" b="0"/>
          <wp:wrapTight wrapText="bothSides">
            <wp:wrapPolygon edited="1">
              <wp:start x="0" y="0"/>
              <wp:lineTo x="0" y="16286"/>
              <wp:lineTo x="10313" y="20571"/>
              <wp:lineTo x="14324" y="20571"/>
              <wp:lineTo x="21199" y="16286"/>
              <wp:lineTo x="21199" y="0"/>
              <wp:lineTo x="0" y="0"/>
            </wp:wrapPolygon>
          </wp:wrapTight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1C046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E428E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D90230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1F1A7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273B90"/>
    <w:multiLevelType w:val="multilevel"/>
    <w:tmpl w:val="9EF0FF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65E7D"/>
    <w:multiLevelType w:val="multilevel"/>
    <w:tmpl w:val="6D3CF4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C5392"/>
    <w:multiLevelType w:val="multilevel"/>
    <w:tmpl w:val="894468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E4CF5"/>
    <w:multiLevelType w:val="multilevel"/>
    <w:tmpl w:val="4F666F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128BB"/>
    <w:multiLevelType w:val="hybridMultilevel"/>
    <w:tmpl w:val="988A6A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B3D41"/>
    <w:multiLevelType w:val="hybridMultilevel"/>
    <w:tmpl w:val="4A9475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75B6"/>
    <w:multiLevelType w:val="multilevel"/>
    <w:tmpl w:val="51967B78"/>
    <w:lvl w:ilvl="0">
      <w:start w:val="1"/>
      <w:numFmt w:val="decimal"/>
      <w:lvlText w:val="%1."/>
      <w:lvlJc w:val="left"/>
      <w:pPr>
        <w:ind w:left="720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59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59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59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59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59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59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59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59"/>
      </w:pPr>
      <w:rPr>
        <w:u w:val="none"/>
      </w:rPr>
    </w:lvl>
  </w:abstractNum>
  <w:abstractNum w:abstractNumId="11" w15:restartNumberingAfterBreak="0">
    <w:nsid w:val="7EF43CBB"/>
    <w:multiLevelType w:val="multilevel"/>
    <w:tmpl w:val="35B86466"/>
    <w:lvl w:ilvl="0">
      <w:start w:val="1"/>
      <w:numFmt w:val="decimal"/>
      <w:lvlText w:val="%1."/>
      <w:lvlJc w:val="left"/>
      <w:pPr>
        <w:ind w:left="720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59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59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59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59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59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59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59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59"/>
      </w:pPr>
      <w:rPr>
        <w:u w:val="none"/>
      </w:rPr>
    </w:lvl>
  </w:abstractNum>
  <w:num w:numId="1" w16cid:durableId="887499675">
    <w:abstractNumId w:val="11"/>
  </w:num>
  <w:num w:numId="2" w16cid:durableId="389427266">
    <w:abstractNumId w:val="10"/>
  </w:num>
  <w:num w:numId="3" w16cid:durableId="988291771">
    <w:abstractNumId w:val="5"/>
  </w:num>
  <w:num w:numId="4" w16cid:durableId="1877234112">
    <w:abstractNumId w:val="4"/>
  </w:num>
  <w:num w:numId="5" w16cid:durableId="1482310986">
    <w:abstractNumId w:val="7"/>
  </w:num>
  <w:num w:numId="6" w16cid:durableId="159784017">
    <w:abstractNumId w:val="6"/>
  </w:num>
  <w:num w:numId="7" w16cid:durableId="1830322011">
    <w:abstractNumId w:val="3"/>
  </w:num>
  <w:num w:numId="8" w16cid:durableId="998850349">
    <w:abstractNumId w:val="2"/>
  </w:num>
  <w:num w:numId="9" w16cid:durableId="65148562">
    <w:abstractNumId w:val="1"/>
  </w:num>
  <w:num w:numId="10" w16cid:durableId="1405758561">
    <w:abstractNumId w:val="0"/>
  </w:num>
  <w:num w:numId="11" w16cid:durableId="357395322">
    <w:abstractNumId w:val="9"/>
  </w:num>
  <w:num w:numId="12" w16cid:durableId="2060811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4D"/>
    <w:rsid w:val="002237B4"/>
    <w:rsid w:val="0023086D"/>
    <w:rsid w:val="0024055C"/>
    <w:rsid w:val="00243139"/>
    <w:rsid w:val="0026094D"/>
    <w:rsid w:val="00271939"/>
    <w:rsid w:val="002A5736"/>
    <w:rsid w:val="002F111D"/>
    <w:rsid w:val="00322FE3"/>
    <w:rsid w:val="00413BA4"/>
    <w:rsid w:val="00434CF0"/>
    <w:rsid w:val="004814E2"/>
    <w:rsid w:val="0058534C"/>
    <w:rsid w:val="005939AE"/>
    <w:rsid w:val="00605F14"/>
    <w:rsid w:val="0065222D"/>
    <w:rsid w:val="00672312"/>
    <w:rsid w:val="0069520C"/>
    <w:rsid w:val="007606A5"/>
    <w:rsid w:val="007A6DCF"/>
    <w:rsid w:val="007B4757"/>
    <w:rsid w:val="007D27B5"/>
    <w:rsid w:val="00893263"/>
    <w:rsid w:val="008D6DC3"/>
    <w:rsid w:val="009047D6"/>
    <w:rsid w:val="00927C22"/>
    <w:rsid w:val="00955E46"/>
    <w:rsid w:val="00985B04"/>
    <w:rsid w:val="00A14ACC"/>
    <w:rsid w:val="00A618FD"/>
    <w:rsid w:val="00A63DE2"/>
    <w:rsid w:val="00A70C64"/>
    <w:rsid w:val="00A8516C"/>
    <w:rsid w:val="00AB15FE"/>
    <w:rsid w:val="00B07DE1"/>
    <w:rsid w:val="00B6295E"/>
    <w:rsid w:val="00C9306D"/>
    <w:rsid w:val="00D065C3"/>
    <w:rsid w:val="00D60E06"/>
    <w:rsid w:val="00E126BB"/>
    <w:rsid w:val="00EB4BC3"/>
    <w:rsid w:val="00EC60C3"/>
    <w:rsid w:val="00ED281F"/>
    <w:rsid w:val="00ED4BDD"/>
    <w:rsid w:val="00F52365"/>
    <w:rsid w:val="00F7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5D9"/>
  <w15:docId w15:val="{8C33E6A0-0029-974E-BCAC-A5DE7A2A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line="276" w:lineRule="auto"/>
      <w:contextualSpacing/>
    </w:pPr>
    <w:rPr>
      <w:rFonts w:ascii="Arial" w:eastAsia="Arial" w:hAnsi="Arial" w:cs="Arial"/>
      <w:sz w:val="22"/>
      <w:szCs w:val="22"/>
      <w:lang w:val="de-AT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63DE2"/>
    <w:pPr>
      <w:keepNext/>
      <w:keepLines/>
      <w:spacing w:before="360" w:after="240"/>
      <w:outlineLvl w:val="0"/>
    </w:pPr>
    <w:rPr>
      <w:rFonts w:eastAsiaTheme="majorEastAsia" w:cstheme="majorBidi"/>
      <w:b/>
      <w:color w:val="263168"/>
      <w:sz w:val="44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B15FE"/>
    <w:pPr>
      <w:keepNext/>
      <w:keepLines/>
      <w:spacing w:before="160" w:after="80"/>
      <w:outlineLvl w:val="1"/>
    </w:pPr>
    <w:rPr>
      <w:rFonts w:eastAsiaTheme="majorEastAsia" w:cstheme="majorBidi"/>
      <w:color w:val="263168"/>
      <w:sz w:val="40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63DE2"/>
    <w:pPr>
      <w:keepNext/>
      <w:keepLines/>
      <w:spacing w:before="160" w:after="80"/>
      <w:outlineLvl w:val="2"/>
    </w:pPr>
    <w:rPr>
      <w:rFonts w:eastAsiaTheme="majorEastAsia" w:cstheme="majorBidi"/>
      <w:color w:val="030303"/>
      <w:sz w:val="32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A63DE2"/>
    <w:pPr>
      <w:keepNext/>
      <w:keepLines/>
      <w:spacing w:before="80" w:after="40"/>
      <w:outlineLvl w:val="3"/>
    </w:pPr>
    <w:rPr>
      <w:rFonts w:eastAsiaTheme="majorEastAsia" w:cstheme="majorBidi"/>
      <w:iCs/>
      <w:color w:val="030303"/>
      <w:sz w:val="28"/>
    </w:rPr>
  </w:style>
  <w:style w:type="paragraph" w:styleId="berschrift5">
    <w:name w:val="heading 5"/>
    <w:basedOn w:val="Standard"/>
    <w:next w:val="Standard"/>
    <w:link w:val="berschrift5Zchn"/>
    <w:unhideWhenUsed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val="de-AT"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aliases w:val="AutorInnen/Veröffentlichung"/>
    <w:basedOn w:val="Standard"/>
    <w:next w:val="Standard"/>
    <w:uiPriority w:val="35"/>
    <w:unhideWhenUsed/>
    <w:qFormat/>
    <w:rsid w:val="00AB15FE"/>
    <w:pPr>
      <w:spacing w:after="480" w:line="240" w:lineRule="auto"/>
    </w:pPr>
    <w:rPr>
      <w:iCs/>
      <w:color w:val="263168"/>
      <w:sz w:val="24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rsid w:val="00A63DE2"/>
    <w:rPr>
      <w:rFonts w:ascii="Arial" w:eastAsiaTheme="majorEastAsia" w:hAnsi="Arial" w:cstheme="majorBidi"/>
      <w:b/>
      <w:color w:val="263168"/>
      <w:sz w:val="44"/>
      <w:szCs w:val="40"/>
      <w:lang w:val="de-AT" w:eastAsia="ja-JP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AB15FE"/>
    <w:rPr>
      <w:rFonts w:ascii="Arial" w:eastAsiaTheme="majorEastAsia" w:hAnsi="Arial" w:cstheme="majorBidi"/>
      <w:color w:val="263168"/>
      <w:sz w:val="40"/>
      <w:szCs w:val="32"/>
      <w:lang w:val="de-AT" w:eastAsia="ja-JP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A63DE2"/>
    <w:rPr>
      <w:rFonts w:ascii="Arial" w:eastAsiaTheme="majorEastAsia" w:hAnsi="Arial" w:cstheme="majorBidi"/>
      <w:color w:val="030303"/>
      <w:sz w:val="32"/>
      <w:szCs w:val="28"/>
      <w:lang w:val="de-AT" w:eastAsia="ja-JP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A63DE2"/>
    <w:rPr>
      <w:rFonts w:ascii="Arial" w:eastAsiaTheme="majorEastAsia" w:hAnsi="Arial" w:cstheme="majorBidi"/>
      <w:iCs/>
      <w:color w:val="030303"/>
      <w:sz w:val="28"/>
      <w:szCs w:val="22"/>
      <w:lang w:val="de-AT" w:eastAsia="ja-JP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character" w:styleId="NichtaufgelsteErwhnung">
    <w:name w:val="Unresolved Mention"/>
    <w:basedOn w:val="Absatz-Standardschriftart"/>
    <w:uiPriority w:val="99"/>
    <w:rPr>
      <w:color w:val="605E5C"/>
      <w:shd w:val="clear" w:color="auto" w:fill="E1DFDD"/>
    </w:rPr>
  </w:style>
  <w:style w:type="paragraph" w:styleId="Zitat">
    <w:name w:val="Quote"/>
    <w:basedOn w:val="Standard"/>
    <w:next w:val="Standard"/>
    <w:link w:val="ZitatZchn"/>
    <w:uiPriority w:val="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pPr>
      <w:ind w:left="720"/>
    </w:pPr>
  </w:style>
  <w:style w:type="character" w:styleId="IntensiveHervorhebung">
    <w:name w:val="Intense Emphasis"/>
    <w:basedOn w:val="Absatz-Standardschriftart"/>
    <w:uiPriority w:val="2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2F5496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A63DE2"/>
    <w:rPr>
      <w:rFonts w:ascii="Arial" w:hAnsi="Arial"/>
      <w:b/>
      <w:iCs/>
      <w:caps/>
      <w:smallCaps w:val="0"/>
      <w:color w:val="263168"/>
    </w:rPr>
  </w:style>
  <w:style w:type="character" w:styleId="Hyperlink">
    <w:name w:val="Hyperlink"/>
    <w:uiPriority w:val="99"/>
    <w:unhideWhenUsed/>
    <w:qFormat/>
    <w:rsid w:val="00A63DE2"/>
    <w:rPr>
      <w:rFonts w:asciiTheme="minorHAnsi" w:hAnsiTheme="minorHAnsi"/>
      <w:color w:val="263168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="Google Sans" w:hAnsi="Google Sans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Google Sans" w:eastAsia="Arial" w:hAnsi="Google Sans" w:cs="Arial"/>
      <w:sz w:val="16"/>
      <w:szCs w:val="22"/>
      <w:lang w:val="de-AT" w:eastAsia="ja-JP"/>
      <w14:ligatures w14:val="none"/>
    </w:rPr>
  </w:style>
  <w:style w:type="paragraph" w:styleId="Fuzeile">
    <w:name w:val="footer"/>
    <w:basedOn w:val="Standard"/>
    <w:link w:val="FuzeileZchn"/>
    <w:uiPriority w:val="99"/>
    <w:unhideWhenUsed/>
    <w:qFormat/>
    <w:rsid w:val="00ED281F"/>
    <w:pPr>
      <w:tabs>
        <w:tab w:val="center" w:pos="4536"/>
        <w:tab w:val="right" w:pos="9072"/>
      </w:tabs>
      <w:spacing w:line="240" w:lineRule="auto"/>
    </w:pPr>
    <w:rPr>
      <w:color w:val="263168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D281F"/>
    <w:rPr>
      <w:rFonts w:ascii="Arial" w:eastAsia="Arial" w:hAnsi="Arial" w:cs="Arial"/>
      <w:color w:val="263168"/>
      <w:sz w:val="16"/>
      <w:szCs w:val="22"/>
      <w:lang w:val="de-AT" w:eastAsia="ja-JP"/>
      <w14:ligatures w14:val="none"/>
    </w:rPr>
  </w:style>
  <w:style w:type="paragraph" w:styleId="KeinLeerraum">
    <w:name w:val="No Spacing"/>
    <w:uiPriority w:val="1"/>
    <w:pPr>
      <w:contextualSpacing/>
    </w:pPr>
    <w:rPr>
      <w:rFonts w:ascii="Arial" w:eastAsia="Arial" w:hAnsi="Arial" w:cs="Arial"/>
      <w:sz w:val="22"/>
      <w:szCs w:val="22"/>
      <w:lang w:val="de-AT" w:eastAsia="ja-JP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pPr>
      <w:spacing w:line="240" w:lineRule="auto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  <w:lang w:val="de-AT" w:eastAsia="ja-JP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color w:val="5A5A5A" w:themeColor="text1" w:themeTint="A5"/>
      <w:spacing w:val="15"/>
      <w:sz w:val="22"/>
      <w:szCs w:val="22"/>
      <w:lang w:val="de-AT" w:eastAsia="ja-JP"/>
      <w14:ligatures w14:val="none"/>
    </w:rPr>
  </w:style>
  <w:style w:type="character" w:styleId="SchwacheHervorhebung">
    <w:name w:val="Subtle Emphasis"/>
    <w:basedOn w:val="Absatz-Standardschriftart"/>
    <w:uiPriority w:val="19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rPr>
      <w:b/>
      <w:bCs/>
      <w:i/>
      <w:iCs/>
      <w:spacing w:val="5"/>
    </w:rPr>
  </w:style>
  <w:style w:type="paragraph" w:customStyle="1" w:styleId="Flietext">
    <w:name w:val="Fließtext"/>
    <w:basedOn w:val="Standard"/>
    <w:qFormat/>
    <w:rsid w:val="00A63DE2"/>
    <w:pPr>
      <w:spacing w:after="240" w:line="360" w:lineRule="auto"/>
      <w:contextualSpacing w:val="0"/>
    </w:pPr>
    <w:rPr>
      <w:rFonts w:asciiTheme="minorHAnsi" w:hAnsiTheme="minorHAnsi"/>
      <w:color w:val="030303"/>
      <w:lang w:eastAsia="de-DE"/>
    </w:rPr>
  </w:style>
  <w:style w:type="character" w:customStyle="1" w:styleId="docdata">
    <w:name w:val="docdata"/>
    <w:basedOn w:val="Absatz-Standardschriftart"/>
    <w:rsid w:val="00322FE3"/>
    <w:rPr>
      <w:color w:val="263168"/>
      <w:sz w:val="16"/>
    </w:rPr>
  </w:style>
  <w:style w:type="table" w:styleId="Tabellenraster">
    <w:name w:val="Table Grid"/>
    <w:basedOn w:val="NormaleTabelle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alibri" w:eastAsia="Calibri" w:hAnsi="Calibri" w:cs="Calibri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leFlietext">
    <w:name w:val="Tabelle Fließtext"/>
    <w:basedOn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Theme="minorHAnsi" w:eastAsia="Google Sans" w:hAnsiTheme="minorHAnsi"/>
      <w:sz w:val="18"/>
      <w:szCs w:val="18"/>
    </w:rPr>
  </w:style>
  <w:style w:type="character" w:customStyle="1" w:styleId="WICHTIGHervorhebungcharacter">
    <w:name w:val="WICHTIG Hervorhebung_character"/>
    <w:basedOn w:val="Hervorhebung"/>
    <w:link w:val="WICHTIGHervorhebung"/>
    <w:rPr>
      <w:rFonts w:ascii="Arial" w:hAnsi="Arial"/>
      <w:b/>
      <w:iCs/>
      <w:caps/>
      <w:smallCaps w:val="0"/>
      <w:color w:val="263168"/>
    </w:rPr>
  </w:style>
  <w:style w:type="paragraph" w:customStyle="1" w:styleId="WICHTIGHervorhebung">
    <w:name w:val="WICHTIG Hervorhebung"/>
    <w:basedOn w:val="Flietext"/>
    <w:link w:val="WICHTIGHervorhebungcharacter"/>
    <w:qFormat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Arial" w:hAnsi="Arial" w:cs="Arial"/>
      <w:sz w:val="20"/>
      <w:szCs w:val="20"/>
      <w:lang w:val="de-AT" w:eastAsia="ja-JP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AutorVerffentlichung">
    <w:name w:val="Autor/Veröffentlichung"/>
    <w:basedOn w:val="Aufzhlungszeichen2"/>
    <w:rsid w:val="008D6DC3"/>
    <w:pPr>
      <w:ind w:left="641" w:hanging="357"/>
    </w:pPr>
    <w:rPr>
      <w:rFonts w:ascii="Google Sans" w:hAnsi="Google Sans"/>
      <w:b/>
      <w:sz w:val="24"/>
    </w:rPr>
  </w:style>
  <w:style w:type="paragraph" w:styleId="Aufzhlungszeichen2">
    <w:name w:val="List Bullet 2"/>
    <w:basedOn w:val="Standard"/>
    <w:uiPriority w:val="99"/>
    <w:semiHidden/>
    <w:unhideWhenUsed/>
    <w:rsid w:val="008D6DC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ucation.tugraz.at/07-lernen-mit-dem-studentqui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ucation.tugraz.at/08-gruppenpuzzl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lucation.tugraz.at/03-audience-responsesyste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mu.de/profil/de/profil-ueber-uns/publikationen/muenchner-methodenkaste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edelsbrunner/Documents/TELucation/Vorlage%20fu&#776;r%20Barrierearme%20Dokumente%20und%20Transkripte%20TELucation%20-%20Nur%20herunterlad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7AA80C-5F26-9A45-BEDF-4FB21BAF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für Barrierearme Dokumente und Transkripte TELucation - Nur herunterladen.dotx</Template>
  <TotalTime>0</TotalTime>
  <Pages>4</Pages>
  <Words>814</Words>
  <Characters>5412</Characters>
  <Application>Microsoft Office Word</Application>
  <DocSecurity>0</DocSecurity>
  <Lines>96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Didaktik #13: Studierende aktivieren mit dem AVIVA-Schema</dc:title>
  <dc:subject/>
  <dc:creator>TU Graz Lehr- und Lerntechnologien, Teaching Academy</dc:creator>
  <cp:keywords/>
  <dc:description/>
  <cp:lastModifiedBy>Edelsbrunner, Sarah</cp:lastModifiedBy>
  <cp:revision>2</cp:revision>
  <dcterms:created xsi:type="dcterms:W3CDTF">2026-06-12T07:51:00Z</dcterms:created>
  <dcterms:modified xsi:type="dcterms:W3CDTF">2026-06-12T08:17:00Z</dcterms:modified>
  <cp:category/>
</cp:coreProperties>
</file>