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9"/>
      </w:pPr>
      <w:r>
        <w:t xml:space="preserve">Didaktik </w:t>
      </w:r>
      <w:r>
        <w:t xml:space="preserve">#0</w:t>
      </w:r>
      <w:r>
        <w:t xml:space="preserve">3</w:t>
      </w:r>
      <w:r>
        <w:t xml:space="preserve"> </w:t>
      </w:r>
      <w:r>
        <w:t xml:space="preserve">AUDIENCE-RESPONSESYSTEME</w:t>
      </w:r>
      <w:r>
        <w:t xml:space="preserve"> - </w:t>
      </w:r>
      <w:r>
        <w:t xml:space="preserve">Feedbackr</w:t>
      </w:r>
      <w:r>
        <w:t xml:space="preserve"> &amp; Co. in der didaktischen Umsetzung</w:t>
      </w:r>
      <w:r/>
    </w:p>
    <w:tbl>
      <w:tblPr>
        <w:tblStyle w:val="736"/>
        <w:tblW w:w="0" w:type="auto"/>
        <w:tblLook w:val="0480" w:firstRow="0" w:lastRow="0" w:firstColumn="1" w:lastColumn="0" w:noHBand="0" w:noVBand="1"/>
      </w:tblPr>
      <w:tblGrid>
        <w:gridCol w:w="4673"/>
        <w:gridCol w:w="4672"/>
      </w:tblGrid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Autor</w:t>
            </w:r>
            <w:r>
              <w:rPr>
                <w:bCs/>
                <w:color w:val="000000" w:themeColor="text1"/>
              </w:rPr>
              <w:t xml:space="preserve">in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</w:pPr>
            <w:r>
              <w:t xml:space="preserve">Clarissa Braun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Veröffentlichung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</w:pPr>
            <w:r>
              <w:t xml:space="preserve">Februar 20</w:t>
            </w:r>
            <w:r>
              <w:t xml:space="preserve">20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Lizenz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t xml:space="preserve">Lizenziert unter der </w:t>
            </w:r>
            <w:hyperlink r:id="rId12" w:tooltip="CC BY-SA 4.0" w:history="1">
              <w:r>
                <w:rPr>
                  <w:rStyle w:val="860"/>
                </w:rPr>
                <w:t xml:space="preserve">Creative-</w:t>
              </w:r>
              <w:r>
                <w:rPr>
                  <w:rStyle w:val="860"/>
                </w:rPr>
                <w:t xml:space="preserve">Commons</w:t>
              </w:r>
              <w:r>
                <w:rPr>
                  <w:rStyle w:val="860"/>
                </w:rPr>
                <w:t xml:space="preserve">-Lizenz CC BY-SA 4.0</w:t>
              </w:r>
            </w:hyperlink>
            <w:r/>
            <w:r/>
          </w:p>
        </w:tc>
      </w:tr>
    </w:tbl>
    <w:p>
      <w:r>
        <w:t xml:space="preserve">Bei der Millionenshow schon gewinnbringend verwendet, hat sich das </w:t>
      </w:r>
      <w:r>
        <w:t xml:space="preserve">Audience</w:t>
      </w:r>
      <w:r>
        <w:t xml:space="preserve">- Response-System im Bildungsbereich deutlich weiterentwickelt und etabliert. </w:t>
      </w:r>
      <w:r>
        <w:t xml:space="preserve">Ursprünglich</w:t>
      </w:r>
      <w:r>
        <w:t xml:space="preserve"> wurde es entwickelt, um Zuschauerreaktionen abzufragen, aber heute </w:t>
      </w:r>
      <w:r>
        <w:t xml:space="preserve">dient es</w:t>
      </w:r>
      <w:r>
        <w:t xml:space="preserve"> </w:t>
      </w:r>
      <w:r>
        <w:t xml:space="preserve">unter anderem</w:t>
      </w:r>
      <w:r>
        <w:t xml:space="preserve"> auch an Hochschulen als Hilfsmittel, um in größeren Gruppen Feedback und Interaktion zu ermöglichen. </w:t>
      </w:r>
      <w:r>
        <w:t xml:space="preserve">Frühe</w:t>
      </w:r>
      <w:r>
        <w:t xml:space="preserve"> </w:t>
      </w:r>
      <w:r>
        <w:t xml:space="preserve">Audience-Response-System</w:t>
      </w:r>
      <w:r>
        <w:t xml:space="preserve"> das erste wurde in den 1960er Jahren entwickelt - basierten auf Voltmeter. Studierende </w:t>
      </w:r>
      <w:r>
        <w:t xml:space="preserve">drückten</w:t>
      </w:r>
      <w:r>
        <w:t xml:space="preserve"> auf einen Knopf am Sitzplatz und die Lehrperson konnte anhand der </w:t>
      </w:r>
      <w:r>
        <w:t xml:space="preserve">Voltzahl</w:t>
      </w:r>
      <w:r>
        <w:t xml:space="preserve"> die Reaktion der Studierenden ablesen. Schon diese </w:t>
      </w:r>
      <w:r>
        <w:t xml:space="preserve">frühen</w:t>
      </w:r>
      <w:r>
        <w:t xml:space="preserve"> </w:t>
      </w:r>
      <w:r>
        <w:t xml:space="preserve">Audience-Response-System </w:t>
      </w:r>
      <w:r>
        <w:t xml:space="preserve">zeigten erste Resultate, nach denen der Einsatz eines </w:t>
      </w:r>
      <w:r>
        <w:t xml:space="preserve">Audience-Response-System </w:t>
      </w:r>
      <w:r>
        <w:t xml:space="preserve">positive Auswirkungen auf die </w:t>
      </w:r>
      <w:r>
        <w:t xml:space="preserve">Behaltensleistung</w:t>
      </w:r>
      <w:r>
        <w:t xml:space="preserve"> der Studierenden hat und die Interaktion im Hörsaal nachweislich steigert</w:t>
      </w:r>
      <w:r>
        <w:t xml:space="preserve">.</w:t>
      </w:r>
      <w:r>
        <w:rPr>
          <w:rStyle w:val="863"/>
        </w:rPr>
        <w:footnoteReference w:id="2"/>
      </w:r>
      <w:r/>
    </w:p>
    <w:p>
      <w:pPr>
        <w:pStyle w:val="700"/>
      </w:pPr>
      <w:r>
        <w:t xml:space="preserve">Für</w:t>
      </w:r>
      <w:r>
        <w:t xml:space="preserve"> welche Gruppengröße sind </w:t>
      </w:r>
      <w:r>
        <w:t xml:space="preserve">Audience-Response-System </w:t>
      </w:r>
      <w:r>
        <w:t xml:space="preserve">geeignet?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Gerade bei großen Gruppen oder Lehrveranstaltungen ist es schwierig als </w:t>
      </w:r>
      <w:r>
        <w:rPr>
          <w:sz w:val="24"/>
          <w:szCs w:val="24"/>
        </w:rPr>
        <w:t xml:space="preserve">Vortragende:r</w:t>
      </w:r>
      <w:r>
        <w:rPr>
          <w:sz w:val="24"/>
          <w:szCs w:val="24"/>
        </w:rPr>
        <w:t xml:space="preserve"> die Gesamtheit der </w:t>
      </w:r>
      <w:r>
        <w:rPr>
          <w:sz w:val="24"/>
          <w:szCs w:val="24"/>
        </w:rPr>
        <w:t xml:space="preserve">Vorlesungsteilnehmer:innen</w:t>
      </w:r>
      <w:r>
        <w:rPr>
          <w:sz w:val="24"/>
          <w:szCs w:val="24"/>
        </w:rPr>
        <w:t xml:space="preserve"> zu </w:t>
      </w:r>
      <w:r>
        <w:rPr>
          <w:sz w:val="24"/>
          <w:szCs w:val="24"/>
        </w:rPr>
        <w:t xml:space="preserve">berücksichtigen</w:t>
      </w:r>
      <w:r>
        <w:rPr>
          <w:sz w:val="24"/>
          <w:szCs w:val="24"/>
        </w:rPr>
        <w:t xml:space="preserve">. Was bei kleinen Seminaren eine kurze analoge Handzeichenabfrage leistet, wird in einem Hörsaal zur Herausforderung. Die neuen digitalen Möglichkeiten der ARS sind daher aus Großveranstaltungen nicht mehr wegzudenken.</w:t>
      </w:r>
      <w:r/>
    </w:p>
    <w:p>
      <w:pPr>
        <w:rPr>
          <w:sz w:val="24"/>
          <w:szCs w:val="24"/>
        </w:rPr>
      </w:pPr>
      <w:r>
        <w:rPr>
          <w:rStyle w:val="712"/>
        </w:rPr>
        <w:t xml:space="preserve">Wann setze ich </w:t>
      </w:r>
      <w:hyperlink r:id="rId13" w:tooltip="Link zur Anleitung Audience-Response-System" w:history="1">
        <w:r>
          <w:rPr>
            <w:rStyle w:val="860"/>
            <w:sz w:val="34"/>
          </w:rPr>
          <w:t xml:space="preserve">Audience-Response-System</w:t>
        </w:r>
      </w:hyperlink>
      <w:r>
        <w:rPr>
          <w:rStyle w:val="712"/>
        </w:rPr>
        <w:t xml:space="preserve"> wie </w:t>
      </w:r>
      <w:hyperlink r:id="rId14" w:tooltip="Feebbackr Use Cases in der (Hochschul-)Lehre" w:history="1">
        <w:r>
          <w:rPr>
            <w:rStyle w:val="860"/>
            <w:sz w:val="34"/>
          </w:rPr>
          <w:t xml:space="preserve">feedbackr</w:t>
        </w:r>
      </w:hyperlink>
      <w:r>
        <w:rPr>
          <w:rStyle w:val="712"/>
        </w:rPr>
        <w:t xml:space="preserve"> ein?</w:t>
      </w:r>
      <w:r/>
    </w:p>
    <w:p>
      <w:pPr>
        <w:pStyle w:val="879"/>
      </w:pPr>
      <w:r>
        <w:t xml:space="preserve">Konstruktives immanentes Feedback zu </w:t>
      </w:r>
      <w:r>
        <w:t xml:space="preserve">PräsentationenDie</w:t>
      </w:r>
      <w:r>
        <w:t xml:space="preserve"> anonymen </w:t>
      </w:r>
      <w:r>
        <w:rPr>
          <w:b w:val="false"/>
          <w:bCs w:val="false"/>
        </w:rPr>
        <w:t xml:space="preserve">Rückmeldungen</w:t>
      </w:r>
      <w:r>
        <w:rPr>
          <w:b w:val="false"/>
          <w:bCs w:val="false"/>
        </w:rPr>
        <w:t xml:space="preserve"> ermöglichen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ehrliches und detailliertes Feedback zu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Präsentationen oder Referaten, sodass sich sowohl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Ihre Studierenden als auch Sie selbst als Lehrperson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kontinuierlich weiterentwickeln können.</w:t>
      </w:r>
      <w:r/>
    </w:p>
    <w:p>
      <w:pPr>
        <w:pStyle w:val="879"/>
        <w:rPr>
          <w:b w:val="false"/>
          <w:bCs w:val="false"/>
        </w:rPr>
      </w:pPr>
      <w:r>
        <w:t xml:space="preserve">Gruppendiskussionen</w:t>
      </w:r>
      <w:r>
        <w:t xml:space="preserve"> </w:t>
      </w:r>
      <w:r>
        <w:br/>
      </w:r>
      <w:r>
        <w:rPr>
          <w:b w:val="false"/>
          <w:bCs w:val="false"/>
        </w:rPr>
        <w:t xml:space="preserve">Ihre Studierenden beantworten bspw. </w:t>
      </w:r>
      <w:r>
        <w:rPr>
          <w:b w:val="false"/>
          <w:bCs w:val="false"/>
        </w:rPr>
        <w:t xml:space="preserve">D</w:t>
      </w:r>
      <w:r>
        <w:rPr>
          <w:b w:val="false"/>
          <w:bCs w:val="false"/>
        </w:rPr>
        <w:t xml:space="preserve">ieselbe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Frage vor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und nach einer </w:t>
      </w:r>
      <w:r>
        <w:rPr>
          <w:b w:val="false"/>
          <w:bCs w:val="false"/>
        </w:rPr>
        <w:t xml:space="preserve">Gruppendiskussion.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Es ist erstaunlich, wie sehr sich die Ergebnisse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dadurch verändern können!</w:t>
      </w:r>
      <w:r/>
    </w:p>
    <w:p>
      <w:pPr>
        <w:pStyle w:val="879"/>
        <w:rPr>
          <w:b w:val="false"/>
          <w:bCs w:val="false"/>
        </w:rPr>
      </w:pPr>
      <w:r>
        <w:t xml:space="preserve">Meinungsumfragen</w:t>
      </w:r>
      <w:r>
        <w:t xml:space="preserve"> </w:t>
      </w:r>
      <w:r>
        <w:br/>
      </w:r>
      <w:r>
        <w:rPr>
          <w:b w:val="false"/>
          <w:bCs w:val="false"/>
        </w:rPr>
        <w:t xml:space="preserve">Mit </w:t>
      </w:r>
      <w:r>
        <w:rPr>
          <w:b w:val="false"/>
          <w:bCs w:val="false"/>
        </w:rPr>
        <w:t xml:space="preserve">feedbackr</w:t>
      </w:r>
      <w:r>
        <w:rPr>
          <w:b w:val="false"/>
          <w:bCs w:val="false"/>
        </w:rPr>
        <w:t xml:space="preserve"> können Sie die persönlichen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Meinungen und Einschätzungen Ihrer Studierenden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sichtbar machen. Durch die Anonymität ist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Ehrlichkeit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wahrscheinlich.</w:t>
      </w:r>
      <w:r/>
    </w:p>
    <w:p>
      <w:pPr>
        <w:pStyle w:val="879"/>
        <w:rPr>
          <w:b w:val="false"/>
          <w:bCs w:val="false"/>
        </w:rPr>
      </w:pPr>
      <w:r>
        <w:t xml:space="preserve">Strukturierung des Lehrveranstaltungsablaufs</w:t>
      </w:r>
      <w:r>
        <w:br/>
      </w:r>
      <w:r>
        <w:rPr>
          <w:b w:val="false"/>
          <w:bCs w:val="false"/>
        </w:rPr>
        <w:t xml:space="preserve">Studierende schätzen es, wenn Sie am Verlauf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der Lehrveranstaltung bzw. der Semesterplanung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mitwirken können. Überlassen Sie die Wahl des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nächsten Inhaltes einfach den Studierenden. Dieses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Mitbestimmungsrecht steigert die Motivation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der Studierenden, da sie sich gehört </w:t>
      </w:r>
      <w:r>
        <w:rPr>
          <w:b w:val="false"/>
          <w:bCs w:val="false"/>
        </w:rPr>
        <w:t xml:space="preserve">fühlen</w:t>
      </w:r>
      <w:r>
        <w:rPr>
          <w:b w:val="false"/>
          <w:bCs w:val="false"/>
        </w:rPr>
        <w:t xml:space="preserve">.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Sie können einfach Ihre bereits ausgearbeiteten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Einheiten </w:t>
      </w:r>
      <w:r>
        <w:rPr>
          <w:b w:val="false"/>
          <w:bCs w:val="false"/>
        </w:rPr>
        <w:t xml:space="preserve">dafür</w:t>
      </w:r>
      <w:r>
        <w:rPr>
          <w:b w:val="false"/>
          <w:bCs w:val="false"/>
        </w:rPr>
        <w:t xml:space="preserve"> nutzen.</w:t>
      </w:r>
      <w:r/>
    </w:p>
    <w:p>
      <w:pPr>
        <w:pStyle w:val="879"/>
        <w:rPr>
          <w:b w:val="false"/>
          <w:bCs w:val="false"/>
        </w:rPr>
      </w:pPr>
      <w:r>
        <w:t xml:space="preserve">Prüfungsvorbereitung</w:t>
      </w:r>
      <w:r>
        <w:br/>
      </w:r>
      <w:r>
        <w:rPr>
          <w:b w:val="false"/>
          <w:bCs w:val="false"/>
        </w:rPr>
        <w:t xml:space="preserve">Vorhandenes </w:t>
      </w:r>
      <w:r>
        <w:rPr>
          <w:b w:val="false"/>
          <w:bCs w:val="false"/>
        </w:rPr>
        <w:t xml:space="preserve">beziehungsweise</w:t>
      </w:r>
      <w:r>
        <w:rPr>
          <w:b w:val="false"/>
          <w:bCs w:val="false"/>
        </w:rPr>
        <w:t xml:space="preserve"> fehlendes Wissen kann leicht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sichtbar gemacht werden. So erkennen Lehrende,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worauf noch geachtet werden sollte.</w:t>
      </w:r>
      <w:r/>
    </w:p>
    <w:p>
      <w:pPr>
        <w:pStyle w:val="879"/>
      </w:pPr>
      <w:r>
        <w:t xml:space="preserve">Verst</w:t>
      </w:r>
      <w:r>
        <w:t xml:space="preserve">ä</w:t>
      </w:r>
      <w:r>
        <w:t xml:space="preserve">ndnisüberprüfung</w:t>
      </w:r>
      <w:r>
        <w:t xml:space="preserve"> </w:t>
      </w:r>
      <w:r>
        <w:br/>
      </w:r>
      <w:r>
        <w:rPr>
          <w:b w:val="false"/>
          <w:bCs w:val="false"/>
        </w:rPr>
        <w:t xml:space="preserve">feedbackr</w:t>
      </w:r>
      <w:r>
        <w:rPr>
          <w:b w:val="false"/>
          <w:bCs w:val="false"/>
        </w:rPr>
        <w:t xml:space="preserve"> zeigt, welche Themenfelder </w:t>
      </w:r>
      <w:r>
        <w:rPr>
          <w:b w:val="false"/>
          <w:bCs w:val="false"/>
        </w:rPr>
        <w:t xml:space="preserve">für</w:t>
      </w:r>
      <w:r>
        <w:rPr>
          <w:b w:val="false"/>
          <w:bCs w:val="false"/>
        </w:rPr>
        <w:t xml:space="preserve"> die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Studierenden noch unklar sind und im Detail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erläutert werden sollten.</w:t>
      </w:r>
      <w:r>
        <w:rPr>
          <w:b w:val="false"/>
          <w:bCs w:val="false"/>
        </w:rPr>
        <w:br/>
      </w:r>
      <w:r/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Info: </w:t>
      </w:r>
      <w:r>
        <w:rPr>
          <w:b/>
          <w:bCs/>
          <w:sz w:val="24"/>
          <w:szCs w:val="24"/>
        </w:rPr>
        <w:t xml:space="preserve">Die 75-25-Regel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Da das Ergebnis einer </w:t>
      </w:r>
      <w:r>
        <w:rPr>
          <w:sz w:val="24"/>
          <w:szCs w:val="24"/>
        </w:rPr>
        <w:t xml:space="preserve">Audience-Response-System</w:t>
      </w:r>
      <w:r>
        <w:rPr>
          <w:sz w:val="24"/>
          <w:szCs w:val="24"/>
        </w:rPr>
        <w:t xml:space="preserve">-Umfrage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den Studierenden ohne Zeitverzögerung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angezeigt werden kann, kommt dem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Umgang mit falschen Antworten hohe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didaktische Bedeutung zu.</w:t>
      </w:r>
      <w:r>
        <w:rPr>
          <w:sz w:val="24"/>
          <w:szCs w:val="24"/>
        </w:rPr>
        <w:t xml:space="preserve"> 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Was tut man also, wenn zu wenige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Studierende die richtige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Antwort gegeben haben?</w:t>
      </w:r>
      <w:r/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Einen groben Richtwert liefert hier 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didaktische „75-25-Regel“. Falsche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Antworten, die von mehr als 25% 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Studierenden gegeben worden sind,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sollten von Lehrenden unmittelbar im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Plenum nachbesprochen werden. Dasselbe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gilt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richtige Antworten, die von weniger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als 75% der Studierenden gewählt wurden.</w:t>
      </w:r>
      <w:r>
        <w:rPr>
          <w:rStyle w:val="863"/>
          <w:sz w:val="24"/>
          <w:szCs w:val="24"/>
        </w:rPr>
        <w:footnoteReference w:id="3"/>
      </w:r>
      <w:r/>
    </w:p>
    <w:p>
      <w:pPr>
        <w:pStyle w:val="701"/>
      </w:pPr>
      <w:r>
        <w:t xml:space="preserve">Exklusiver Tipp aus der Lehre</w:t>
      </w:r>
      <w:r>
        <w:t xml:space="preserve"> </w:t>
      </w:r>
      <w:r>
        <w:t xml:space="preserve">an der T U Graz:</w:t>
      </w:r>
      <w:r/>
    </w:p>
    <w:p>
      <w:r>
        <w:t xml:space="preserve">Feedback </w:t>
      </w:r>
      <w:r>
        <w:t xml:space="preserve">über</w:t>
      </w:r>
      <w:r>
        <w:t xml:space="preserve"> die gesamte Lehrveranstaltung hinweg einholen.</w:t>
      </w:r>
      <w:r>
        <w:t xml:space="preserve"> </w:t>
      </w:r>
      <w:r>
        <w:t xml:space="preserve">Lassen Sie dazu eine Freitextfrage bis zum Ende der Lehrveranstaltung</w:t>
      </w:r>
      <w:r>
        <w:t xml:space="preserve"> </w:t>
      </w:r>
      <w:r>
        <w:t xml:space="preserve">offen und </w:t>
      </w:r>
      <w:r>
        <w:t xml:space="preserve">prüfen</w:t>
      </w:r>
      <w:r>
        <w:t xml:space="preserve"> Sie gelegentlich während der Lehrveranstaltung,</w:t>
      </w:r>
      <w:r>
        <w:t xml:space="preserve"> </w:t>
      </w:r>
      <w:r>
        <w:t xml:space="preserve">ob eine neue Frage </w:t>
      </w:r>
      <w:r>
        <w:t xml:space="preserve">beziehungsweise</w:t>
      </w:r>
      <w:r>
        <w:t xml:space="preserve"> Anmerkung eingegeben</w:t>
      </w:r>
      <w:r>
        <w:t xml:space="preserve"> </w:t>
      </w:r>
      <w:r>
        <w:t xml:space="preserve">wurde</w:t>
      </w:r>
      <w:r>
        <w:t xml:space="preserve">.</w:t>
      </w:r>
      <w:r/>
    </w:p>
    <w:p>
      <w:pPr>
        <w:pStyle w:val="700"/>
      </w:pPr>
      <w:r>
        <w:t xml:space="preserve">Weitere didaktische Einsatzmöglichkeiten</w:t>
      </w:r>
      <w:r/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Icebreaker</w:t>
      </w:r>
      <w:r>
        <w:rPr>
          <w:b/>
          <w:bCs/>
          <w:sz w:val="24"/>
          <w:szCs w:val="24"/>
        </w:rPr>
        <w:t xml:space="preserve">-Fragen zu Beginn der </w:t>
      </w:r>
      <w:r>
        <w:rPr>
          <w:b/>
          <w:bCs/>
          <w:sz w:val="24"/>
          <w:szCs w:val="24"/>
        </w:rPr>
        <w:t xml:space="preserve">Lehrveranstaltung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Stellen Sie Ihren Studierenden eine persönliche Frage zu Beginn Ihrer </w:t>
      </w:r>
      <w:r>
        <w:rPr>
          <w:sz w:val="24"/>
          <w:szCs w:val="24"/>
        </w:rPr>
        <w:t xml:space="preserve">Lehrveranstaltung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wie </w:t>
      </w:r>
      <w:r>
        <w:rPr>
          <w:sz w:val="24"/>
          <w:szCs w:val="24"/>
        </w:rPr>
        <w:t xml:space="preserve">zum Beispiel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Welcher Begriff kommt dir zuerst in den Sinn, wenn du an Thema/Fachbereich XY denkst? Was siehst du bei Thema/Fachbereich XY gerade als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große Herausforderung? Hast du eine (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dich) neue Erkenntnis zu Thema/Fachbereich XY erlangt? Welche?</w:t>
      </w:r>
      <w:r/>
    </w:p>
    <w:p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Peer </w:t>
      </w:r>
      <w:r>
        <w:rPr>
          <w:b/>
          <w:bCs/>
          <w:sz w:val="24"/>
          <w:szCs w:val="24"/>
        </w:rPr>
        <w:t xml:space="preserve">Instruction</w:t>
      </w:r>
      <w:r>
        <w:rPr>
          <w:b/>
          <w:bCs/>
          <w:sz w:val="24"/>
          <w:szCs w:val="24"/>
        </w:rPr>
        <w:t xml:space="preserve"> &amp; </w:t>
      </w:r>
      <w:r>
        <w:rPr>
          <w:b/>
          <w:bCs/>
          <w:sz w:val="24"/>
          <w:szCs w:val="24"/>
        </w:rPr>
        <w:t xml:space="preserve">Audience-Response-System</w:t>
      </w:r>
      <w:r>
        <w:rPr>
          <w:b/>
          <w:bCs/>
          <w:sz w:val="24"/>
          <w:szCs w:val="24"/>
        </w:rPr>
        <w:t xml:space="preserve"> in Kombination: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Vortragende lassen Studierende zuerst in kleinen Gruppen </w:t>
      </w:r>
      <w:r>
        <w:rPr>
          <w:sz w:val="24"/>
          <w:szCs w:val="24"/>
        </w:rPr>
        <w:t xml:space="preserve">über</w:t>
      </w:r>
      <w:r>
        <w:rPr>
          <w:sz w:val="24"/>
          <w:szCs w:val="24"/>
        </w:rPr>
        <w:t xml:space="preserve"> die Frage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diskutieren, dann antwortet </w:t>
      </w:r>
      <w:r>
        <w:rPr>
          <w:sz w:val="24"/>
          <w:szCs w:val="24"/>
        </w:rPr>
        <w:t xml:space="preserve">jede:r</w:t>
      </w:r>
      <w:r>
        <w:rPr>
          <w:sz w:val="24"/>
          <w:szCs w:val="24"/>
        </w:rPr>
        <w:t xml:space="preserve"> selbstständig. So haben Studierende die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Möglichkeit </w:t>
      </w:r>
      <w:r>
        <w:rPr>
          <w:sz w:val="24"/>
          <w:szCs w:val="24"/>
        </w:rPr>
        <w:t xml:space="preserve">über</w:t>
      </w:r>
      <w:r>
        <w:rPr>
          <w:sz w:val="24"/>
          <w:szCs w:val="24"/>
        </w:rPr>
        <w:t xml:space="preserve"> Peer </w:t>
      </w:r>
      <w:r>
        <w:rPr>
          <w:sz w:val="24"/>
          <w:szCs w:val="24"/>
        </w:rPr>
        <w:t xml:space="preserve">Instruction</w:t>
      </w:r>
      <w:r>
        <w:rPr>
          <w:sz w:val="24"/>
          <w:szCs w:val="24"/>
        </w:rPr>
        <w:t xml:space="preserve"> Inhalte zu erfahren, anstelle von Lehrenden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richtige Lösung zu erfahren.</w:t>
      </w:r>
      <w:r/>
    </w:p>
    <w:p>
      <w:pPr>
        <w:rPr>
          <w:sz w:val="24"/>
          <w:szCs w:val="24"/>
        </w:rPr>
      </w:pPr>
      <w:r>
        <w:rPr>
          <w:b/>
          <w:bCs/>
          <w:sz w:val="24"/>
          <w:szCs w:val="24"/>
          <w:lang w:val="de-AT"/>
        </w:rPr>
        <w:t xml:space="preserve">360° </w:t>
      </w:r>
      <w:r>
        <w:rPr>
          <w:b/>
          <w:bCs/>
          <w:sz w:val="24"/>
          <w:szCs w:val="24"/>
          <w:lang w:val="de-AT"/>
        </w:rPr>
        <w:t xml:space="preserve">Audience-Response-System</w:t>
      </w:r>
      <w:r>
        <w:rPr>
          <w:b/>
          <w:bCs/>
          <w:sz w:val="24"/>
          <w:szCs w:val="24"/>
          <w:lang w:val="de-AT"/>
        </w:rPr>
        <w:t xml:space="preserve"> - Student </w:t>
      </w:r>
      <w:r>
        <w:rPr>
          <w:b/>
          <w:bCs/>
          <w:sz w:val="24"/>
          <w:szCs w:val="24"/>
          <w:lang w:val="de-AT"/>
        </w:rPr>
        <w:t xml:space="preserve">Generated</w:t>
      </w:r>
      <w:r>
        <w:rPr>
          <w:b/>
          <w:bCs/>
          <w:sz w:val="24"/>
          <w:szCs w:val="24"/>
          <w:lang w:val="de-AT"/>
        </w:rPr>
        <w:t xml:space="preserve"> Content mit </w:t>
      </w:r>
      <w:r>
        <w:rPr>
          <w:b/>
          <w:bCs/>
          <w:sz w:val="24"/>
          <w:szCs w:val="24"/>
          <w:lang w:val="de-AT"/>
        </w:rPr>
        <w:t xml:space="preserve">Audience</w:t>
      </w:r>
      <w:r>
        <w:rPr>
          <w:b/>
          <w:bCs/>
          <w:sz w:val="24"/>
          <w:szCs w:val="24"/>
          <w:lang w:val="de-AT"/>
        </w:rPr>
        <w:t xml:space="preserve">-Response-Systemen</w:t>
      </w:r>
      <w:r>
        <w:rPr>
          <w:sz w:val="24"/>
          <w:szCs w:val="24"/>
          <w:lang w:val="de-AT"/>
        </w:rPr>
        <w:br/>
      </w:r>
      <w:r>
        <w:rPr>
          <w:sz w:val="24"/>
          <w:szCs w:val="24"/>
        </w:rPr>
        <w:t xml:space="preserve">Dahinter versteckt sich die projektartige Erstellung der </w:t>
      </w:r>
      <w:r>
        <w:rPr>
          <w:sz w:val="24"/>
          <w:szCs w:val="24"/>
        </w:rPr>
        <w:t xml:space="preserve">Audience-Response-System</w:t>
      </w:r>
      <w:r>
        <w:rPr>
          <w:sz w:val="24"/>
          <w:szCs w:val="24"/>
        </w:rPr>
        <w:t xml:space="preserve">-Fragen durch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Studierende. Dabei erhalten Studierende – nicht die Lehrenden – die Aufgabe,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Fragen, Antworten und Erklärungen zu bestimmten Themenbereichen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Veranstaltung zu generieren.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Lehrperson </w:t>
      </w:r>
      <w:r>
        <w:rPr>
          <w:sz w:val="24"/>
          <w:szCs w:val="24"/>
        </w:rPr>
        <w:t xml:space="preserve">kuratiert</w:t>
      </w:r>
      <w:r>
        <w:rPr>
          <w:sz w:val="24"/>
          <w:szCs w:val="24"/>
        </w:rPr>
        <w:t xml:space="preserve"> und sichtet dabei die Fragen und wählt daraus geeignete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für</w:t>
      </w:r>
      <w:r>
        <w:rPr>
          <w:sz w:val="24"/>
          <w:szCs w:val="24"/>
        </w:rPr>
        <w:t xml:space="preserve"> die Studierenden der nächsten Semester.</w:t>
      </w:r>
      <w:r/>
    </w:p>
    <w:p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39060"/>
                <wp:effectExtent l="0" t="0" r="3175" b="2540"/>
                <wp:docPr id="1" name="Grafik 3" descr="Ablaufplan für die Erstellung von ARS-Fragen durch Studierende - Eine innovative Idee von Dr. habil. Malte Persike. Hochschulforum Digitalisierung (s. Fußnote 3) CC-BY-SA 4.0 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schirmfoto 2021-07-06 um 13.37.35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2639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207.8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701"/>
      </w:pPr>
      <w:r>
        <w:t xml:space="preserve">Webbasierte </w:t>
      </w:r>
      <w:r>
        <w:t xml:space="preserve">Audience-Response-System </w:t>
      </w:r>
      <w:r>
        <w:t xml:space="preserve">zur Nutzung an Hochschulen:</w:t>
      </w:r>
      <w:r/>
    </w:p>
    <w:p>
      <w:r>
        <w:rPr>
          <w:b/>
          <w:bCs/>
        </w:rPr>
        <w:t xml:space="preserve">feedbackr</w:t>
      </w:r>
      <w:r>
        <w:t xml:space="preserve"> wurde an der T U Graz entwickelt</w:t>
      </w:r>
      <w:r>
        <w:t xml:space="preserve"> </w:t>
      </w:r>
      <w:r>
        <w:t xml:space="preserve">– mehr dazu im </w:t>
      </w:r>
      <w:r>
        <w:t xml:space="preserve">feedbackr</w:t>
      </w:r>
      <w:r>
        <w:t xml:space="preserve">-Beitrag in der</w:t>
      </w:r>
      <w:r>
        <w:t xml:space="preserve"> </w:t>
      </w:r>
      <w:r>
        <w:t xml:space="preserve">TELucation</w:t>
      </w:r>
      <w:r>
        <w:t xml:space="preserve"> Sammelmappe.</w:t>
      </w:r>
      <w:r>
        <w:br/>
      </w:r>
      <w:r>
        <w:rPr>
          <w:b/>
          <w:bCs/>
        </w:rPr>
        <w:t xml:space="preserve">Kahoot</w:t>
      </w:r>
      <w:r>
        <w:rPr>
          <w:b/>
          <w:bCs/>
        </w:rPr>
        <w:t xml:space="preserve"> </w:t>
      </w:r>
      <w:r>
        <w:t xml:space="preserve">ist wohl das bunteste </w:t>
      </w:r>
      <w:r>
        <w:t xml:space="preserve">Audience-Response-System</w:t>
      </w:r>
      <w:r>
        <w:t xml:space="preserve">, das sich</w:t>
      </w:r>
      <w:r>
        <w:t xml:space="preserve"> </w:t>
      </w:r>
      <w:r>
        <w:t xml:space="preserve">durch Bestenlisten und Teammodus gut zum</w:t>
      </w:r>
      <w:r>
        <w:t xml:space="preserve"> </w:t>
      </w:r>
      <w:r>
        <w:t xml:space="preserve">spielerischen Ü</w:t>
      </w:r>
      <w:r>
        <w:t xml:space="preserve">berprüfen</w:t>
      </w:r>
      <w:r>
        <w:t xml:space="preserve"> des Wissens eignet.</w:t>
      </w:r>
      <w:r>
        <w:t xml:space="preserve"> </w:t>
      </w:r>
      <w:r>
        <w:t xml:space="preserve">Lehrende benötigen ein Login, Teilnehmende</w:t>
      </w:r>
      <w:r>
        <w:t xml:space="preserve"> </w:t>
      </w:r>
      <w:r>
        <w:t xml:space="preserve">nur die </w:t>
      </w:r>
      <w:r>
        <w:t xml:space="preserve">Session ID</w:t>
      </w:r>
      <w:r>
        <w:t xml:space="preserve">, beim Anmelden wird ein</w:t>
      </w:r>
      <w:r>
        <w:t xml:space="preserve"> </w:t>
      </w:r>
      <w:r>
        <w:t xml:space="preserve">Spitzname eingegeben, der später in einer</w:t>
      </w:r>
      <w:r>
        <w:t xml:space="preserve"> </w:t>
      </w:r>
      <w:r>
        <w:t xml:space="preserve">Bestenliste angezeigt wird.</w:t>
      </w:r>
      <w:r/>
    </w:p>
    <w:p>
      <w:r/>
      <w:hyperlink r:id="rId16" w:tooltip="Link zur Seite didaktische Szenarien mit PINGO" w:history="1">
        <w:r>
          <w:rPr>
            <w:rStyle w:val="860"/>
            <w:b/>
            <w:bCs/>
          </w:rPr>
          <w:t xml:space="preserve">PINGO</w:t>
        </w:r>
      </w:hyperlink>
      <w:r>
        <w:t xml:space="preserve"> hat verschiedene Fragetypen,</w:t>
      </w:r>
      <w:r>
        <w:t xml:space="preserve"> </w:t>
      </w:r>
      <w:r>
        <w:t xml:space="preserve">besonders hervorzuheben ist der </w:t>
      </w:r>
      <w:r>
        <w:t xml:space="preserve">Fragetyp</w:t>
      </w:r>
      <w:r>
        <w:t xml:space="preserve"> </w:t>
      </w:r>
      <w:r>
        <w:t xml:space="preserve">numerisch. Da PINGO speziell </w:t>
      </w:r>
      <w:r>
        <w:t xml:space="preserve">für</w:t>
      </w:r>
      <w:r>
        <w:t xml:space="preserve"> die</w:t>
      </w:r>
      <w:r>
        <w:t xml:space="preserve"> </w:t>
      </w:r>
      <w:r>
        <w:t xml:space="preserve">Methode des Peer-</w:t>
      </w:r>
      <w:r>
        <w:t xml:space="preserve">Instruction</w:t>
      </w:r>
      <w:r>
        <w:t xml:space="preserve">-Lernens</w:t>
      </w:r>
      <w:r>
        <w:t xml:space="preserve"> </w:t>
      </w:r>
      <w:r>
        <w:t xml:space="preserve">entwickelt wurde, können zwei Fragendurchläufe</w:t>
      </w:r>
      <w:r>
        <w:t xml:space="preserve"> </w:t>
      </w:r>
      <w:r>
        <w:t xml:space="preserve">nebeneinander angezeigt werden,</w:t>
      </w:r>
      <w:r>
        <w:t xml:space="preserve"> </w:t>
      </w:r>
      <w:r>
        <w:t xml:space="preserve">um die Veränderung des Ergebnisses zu sehen.</w:t>
      </w:r>
      <w:r>
        <w:t xml:space="preserve"> </w:t>
      </w:r>
      <w:r>
        <w:t xml:space="preserve">Lehrende benötigen ein Login, Teilnehmende</w:t>
      </w:r>
      <w:r>
        <w:t xml:space="preserve"> </w:t>
      </w:r>
      <w:r>
        <w:t xml:space="preserve">nur die </w:t>
      </w:r>
      <w:r>
        <w:t xml:space="preserve">Session ID</w:t>
      </w:r>
      <w:r>
        <w:t xml:space="preserve">.</w:t>
      </w:r>
      <w:r/>
    </w:p>
    <w:p>
      <w:r>
        <w:rPr>
          <w:b/>
          <w:bCs/>
        </w:rPr>
        <w:t xml:space="preserve">Poll Unit</w:t>
      </w:r>
      <w:r>
        <w:t xml:space="preserve"> digitalisiert die Methode „</w:t>
      </w:r>
      <w:r>
        <w:t xml:space="preserve">Dot</w:t>
      </w:r>
      <w:r>
        <w:t xml:space="preserve"> </w:t>
      </w:r>
      <w:r>
        <w:t xml:space="preserve">Voting</w:t>
      </w:r>
      <w:r>
        <w:t xml:space="preserve">“ (eine</w:t>
      </w:r>
      <w:r>
        <w:t xml:space="preserve"> </w:t>
      </w:r>
      <w:r>
        <w:t xml:space="preserve">Form der kumulativen Abstimmung): Es hilft, um im</w:t>
      </w:r>
      <w:r>
        <w:t xml:space="preserve"> </w:t>
      </w:r>
      <w:r>
        <w:t xml:space="preserve">Team durch gemeinsame Analyse eine große Menge an</w:t>
      </w:r>
      <w:r>
        <w:t xml:space="preserve"> </w:t>
      </w:r>
      <w:r>
        <w:t xml:space="preserve">Optionen </w:t>
      </w:r>
      <w:r>
        <w:t xml:space="preserve">beziehungsweise</w:t>
      </w:r>
      <w:r>
        <w:t xml:space="preserve"> Ideen zu priorisieren oder Probleme zu</w:t>
      </w:r>
      <w:r>
        <w:t xml:space="preserve"> </w:t>
      </w:r>
      <w:r>
        <w:t xml:space="preserve">identifizieren. Weder Lehrende noch Teilnehmende benötigen</w:t>
      </w:r>
      <w:r>
        <w:t xml:space="preserve"> </w:t>
      </w:r>
      <w:r>
        <w:t xml:space="preserve">einen Account.</w:t>
      </w:r>
      <w:r/>
    </w:p>
    <w:p>
      <w:pPr>
        <w:rPr>
          <w:color w:val="000000"/>
        </w:rPr>
      </w:pPr>
      <w:r>
        <w:rPr>
          <w:color w:val="000000" w:themeColor="text1"/>
        </w:rPr>
        <w:t xml:space="preserve">Mehr dazu im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feedbackr</w:t>
      </w:r>
      <w:r>
        <w:rPr>
          <w:color w:val="000000" w:themeColor="text1"/>
        </w:rPr>
        <w:t xml:space="preserve">-Beitrag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in der Rubrik Tools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der </w:t>
      </w:r>
      <w:r>
        <w:rPr>
          <w:color w:val="000000" w:themeColor="text1"/>
        </w:rPr>
        <w:t xml:space="preserve">TELucation</w:t>
      </w:r>
      <w:r>
        <w:rPr>
          <w:color w:val="000000" w:themeColor="text1"/>
        </w:rPr>
        <w:t xml:space="preserve">-Sammelmappe.</w:t>
      </w:r>
      <w:r/>
    </w:p>
    <w:p>
      <w:pPr>
        <w:pStyle w:val="701"/>
      </w:pPr>
      <w:r>
        <w:t xml:space="preserve">Sticker zum Beitrag</w:t>
      </w:r>
      <w:r/>
    </w:p>
    <w:p>
      <w:r/>
      <w:bookmarkStart w:id="0" w:name="_GoBack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933699" cy="2946400"/>
                <wp:effectExtent l="0" t="0" r="1" b="0"/>
                <wp:docPr id="2" name="Grafik 4" descr="Sticker zum Beitrag Audience-Response-System - Feedbackr und Co. in der didaktischen Umsetzung " hidden="false" title="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telucation_sticker2020-04.jpg" descr="Sticker zum Beitrag Audience-Response-System - Feedbackr und Co. in der didaktischen Umsetzung 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0" flipH="0" flipV="0">
                          <a:off x="0" y="0"/>
                          <a:ext cx="2933699" cy="294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31.0pt;height:232.0pt;rotation:0;" stroked="false">
                <v:path textboxrect="0,0,0,0"/>
                <v:imagedata r:id="rId17" o:title=""/>
              </v:shape>
            </w:pict>
          </mc:Fallback>
        </mc:AlternateContent>
      </w:r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  <w:footnote w:id="2">
    <w:p>
      <w:pPr>
        <w:pStyle w:val="730"/>
        <w:rPr>
          <w:sz w:val="20"/>
          <w:szCs w:val="20"/>
        </w:rPr>
      </w:pPr>
      <w:r>
        <w:rPr>
          <w:rStyle w:val="863"/>
          <w:sz w:val="20"/>
          <w:szCs w:val="20"/>
          <w:vertAlign w:val="baseline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Horowitz, Harold. “</w:t>
      </w:r>
      <w:r>
        <w:rPr>
          <w:sz w:val="20"/>
          <w:szCs w:val="20"/>
        </w:rPr>
        <w:t xml:space="preserve">Interactivity</w:t>
      </w:r>
      <w:r>
        <w:rPr>
          <w:sz w:val="20"/>
          <w:szCs w:val="20"/>
        </w:rPr>
        <w:t xml:space="preserve"> in a </w:t>
      </w:r>
      <w:r>
        <w:rPr>
          <w:sz w:val="20"/>
          <w:szCs w:val="20"/>
        </w:rPr>
        <w:t xml:space="preserve">Classroom</w:t>
      </w:r>
      <w:r>
        <w:rPr>
          <w:sz w:val="20"/>
          <w:szCs w:val="20"/>
        </w:rPr>
        <w:t xml:space="preserve"> Environment.” </w:t>
      </w:r>
      <w:r>
        <w:rPr>
          <w:sz w:val="20"/>
          <w:szCs w:val="20"/>
          <w:lang w:val="en-US"/>
        </w:rPr>
        <w:t xml:space="preserve">In: Sixth Conference on Interactive Instruction Technology for the Society of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Applied Learning Technology. </w:t>
      </w:r>
      <w:r>
        <w:rPr>
          <w:sz w:val="20"/>
          <w:szCs w:val="20"/>
        </w:rPr>
        <w:t xml:space="preserve">New York: IBM Corporate Education Center, 1988.</w:t>
      </w:r>
      <w:r/>
    </w:p>
  </w:footnote>
  <w:footnote w:id="3">
    <w:p>
      <w:pPr>
        <w:pStyle w:val="861"/>
        <w:rPr>
          <w:sz w:val="20"/>
          <w:szCs w:val="20"/>
          <w:lang w:val="de-AT"/>
        </w:rPr>
      </w:pPr>
      <w:r>
        <w:rPr>
          <w:rStyle w:val="863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Persike</w:t>
      </w:r>
      <w:r>
        <w:rPr>
          <w:sz w:val="20"/>
          <w:szCs w:val="20"/>
        </w:rPr>
        <w:t xml:space="preserve">, Malte. So viele Antworten - Anleitung </w:t>
      </w:r>
      <w:r>
        <w:rPr>
          <w:sz w:val="20"/>
          <w:szCs w:val="20"/>
        </w:rPr>
        <w:t xml:space="preserve">Audience</w:t>
      </w:r>
      <w:r>
        <w:rPr>
          <w:sz w:val="20"/>
          <w:szCs w:val="20"/>
        </w:rPr>
        <w:t xml:space="preserve"> Response Systeme in der Lehre. Hochschulforum Digitalisierung.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887"/>
    <w:lvl w:ilvl="0">
      <w:start w:val="1"/>
      <w:numFmt w:val="decimal"/>
      <w:pStyle w:val="887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pStyle w:val="879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881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styleLink w:val="885"/>
    <w:lvl w:ilvl="0">
      <w:start w:val="1"/>
      <w:numFmt w:val="bullet"/>
      <w:pStyle w:val="885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">
    <w:multiLevelType w:val="hybridMultilevel"/>
    <w:styleLink w:val="886"/>
    <w:lvl w:ilvl="0">
      <w:start w:val="1"/>
      <w:numFmt w:val="decimal"/>
      <w:pStyle w:val="886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1">
    <w:name w:val="Heading 1 Char"/>
    <w:basedOn w:val="708"/>
    <w:link w:val="699"/>
    <w:uiPriority w:val="9"/>
    <w:rPr>
      <w:rFonts w:ascii="Arial" w:hAnsi="Arial" w:cs="Arial" w:eastAsia="Arial"/>
      <w:sz w:val="40"/>
      <w:szCs w:val="40"/>
    </w:rPr>
  </w:style>
  <w:style w:type="character" w:styleId="682">
    <w:name w:val="Heading 2 Char"/>
    <w:basedOn w:val="708"/>
    <w:link w:val="700"/>
    <w:uiPriority w:val="9"/>
    <w:rPr>
      <w:rFonts w:ascii="Arial" w:hAnsi="Arial" w:cs="Arial" w:eastAsia="Arial"/>
      <w:sz w:val="34"/>
    </w:rPr>
  </w:style>
  <w:style w:type="character" w:styleId="683">
    <w:name w:val="Heading 3 Char"/>
    <w:basedOn w:val="708"/>
    <w:link w:val="701"/>
    <w:uiPriority w:val="9"/>
    <w:rPr>
      <w:rFonts w:ascii="Arial" w:hAnsi="Arial" w:cs="Arial" w:eastAsia="Arial"/>
      <w:sz w:val="30"/>
      <w:szCs w:val="30"/>
    </w:rPr>
  </w:style>
  <w:style w:type="character" w:styleId="684">
    <w:name w:val="Heading 4 Char"/>
    <w:basedOn w:val="708"/>
    <w:link w:val="702"/>
    <w:uiPriority w:val="9"/>
    <w:rPr>
      <w:rFonts w:ascii="Arial" w:hAnsi="Arial" w:cs="Arial" w:eastAsia="Arial"/>
      <w:b/>
      <w:bCs/>
      <w:sz w:val="26"/>
      <w:szCs w:val="26"/>
    </w:rPr>
  </w:style>
  <w:style w:type="character" w:styleId="685">
    <w:name w:val="Heading 5 Char"/>
    <w:basedOn w:val="708"/>
    <w:link w:val="703"/>
    <w:uiPriority w:val="9"/>
    <w:rPr>
      <w:rFonts w:ascii="Arial" w:hAnsi="Arial" w:cs="Arial" w:eastAsia="Arial"/>
      <w:b/>
      <w:bCs/>
      <w:sz w:val="24"/>
      <w:szCs w:val="24"/>
    </w:rPr>
  </w:style>
  <w:style w:type="character" w:styleId="686">
    <w:name w:val="Heading 6 Char"/>
    <w:basedOn w:val="708"/>
    <w:link w:val="704"/>
    <w:uiPriority w:val="9"/>
    <w:rPr>
      <w:rFonts w:ascii="Arial" w:hAnsi="Arial" w:cs="Arial" w:eastAsia="Arial"/>
      <w:b/>
      <w:bCs/>
      <w:sz w:val="22"/>
      <w:szCs w:val="22"/>
    </w:rPr>
  </w:style>
  <w:style w:type="character" w:styleId="687">
    <w:name w:val="Heading 7 Char"/>
    <w:basedOn w:val="708"/>
    <w:link w:val="7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88">
    <w:name w:val="Heading 8 Char"/>
    <w:basedOn w:val="708"/>
    <w:link w:val="706"/>
    <w:uiPriority w:val="9"/>
    <w:rPr>
      <w:rFonts w:ascii="Arial" w:hAnsi="Arial" w:cs="Arial" w:eastAsia="Arial"/>
      <w:i/>
      <w:iCs/>
      <w:sz w:val="22"/>
      <w:szCs w:val="22"/>
    </w:rPr>
  </w:style>
  <w:style w:type="character" w:styleId="689">
    <w:name w:val="Heading 9 Char"/>
    <w:basedOn w:val="708"/>
    <w:link w:val="707"/>
    <w:uiPriority w:val="9"/>
    <w:rPr>
      <w:rFonts w:ascii="Arial" w:hAnsi="Arial" w:cs="Arial" w:eastAsia="Arial"/>
      <w:i/>
      <w:iCs/>
      <w:sz w:val="21"/>
      <w:szCs w:val="21"/>
    </w:rPr>
  </w:style>
  <w:style w:type="character" w:styleId="690">
    <w:name w:val="Title Char"/>
    <w:basedOn w:val="708"/>
    <w:link w:val="720"/>
    <w:uiPriority w:val="10"/>
    <w:rPr>
      <w:sz w:val="48"/>
      <w:szCs w:val="48"/>
    </w:rPr>
  </w:style>
  <w:style w:type="character" w:styleId="691">
    <w:name w:val="Subtitle Char"/>
    <w:basedOn w:val="708"/>
    <w:link w:val="722"/>
    <w:uiPriority w:val="11"/>
    <w:rPr>
      <w:sz w:val="24"/>
      <w:szCs w:val="24"/>
    </w:rPr>
  </w:style>
  <w:style w:type="character" w:styleId="692">
    <w:name w:val="Quote Char"/>
    <w:link w:val="724"/>
    <w:uiPriority w:val="29"/>
    <w:rPr>
      <w:i/>
    </w:rPr>
  </w:style>
  <w:style w:type="character" w:styleId="693">
    <w:name w:val="Intense Quote Char"/>
    <w:link w:val="726"/>
    <w:uiPriority w:val="30"/>
    <w:rPr>
      <w:i/>
    </w:rPr>
  </w:style>
  <w:style w:type="character" w:styleId="694">
    <w:name w:val="Header Char"/>
    <w:basedOn w:val="708"/>
    <w:link w:val="728"/>
    <w:uiPriority w:val="99"/>
  </w:style>
  <w:style w:type="character" w:styleId="695">
    <w:name w:val="Caption Char"/>
    <w:basedOn w:val="732"/>
    <w:link w:val="730"/>
    <w:uiPriority w:val="99"/>
  </w:style>
  <w:style w:type="character" w:styleId="696">
    <w:name w:val="Footnote Text Char"/>
    <w:link w:val="861"/>
    <w:uiPriority w:val="99"/>
    <w:rPr>
      <w:sz w:val="18"/>
    </w:rPr>
  </w:style>
  <w:style w:type="character" w:styleId="697">
    <w:name w:val="Endnote Text Char"/>
    <w:link w:val="864"/>
    <w:uiPriority w:val="99"/>
    <w:rPr>
      <w:sz w:val="20"/>
    </w:rPr>
  </w:style>
  <w:style w:type="paragraph" w:styleId="698" w:default="1">
    <w:name w:val="Normal"/>
    <w:qFormat/>
    <w:rPr>
      <w:sz w:val="24"/>
    </w:rPr>
    <w:pPr>
      <w:spacing w:before="200"/>
    </w:pPr>
  </w:style>
  <w:style w:type="paragraph" w:styleId="699">
    <w:name w:val="Heading 1"/>
    <w:basedOn w:val="698"/>
    <w:next w:val="698"/>
    <w:link w:val="711"/>
    <w:qFormat/>
    <w:uiPriority w:val="9"/>
    <w:rPr>
      <w:b/>
      <w:sz w:val="40"/>
      <w:szCs w:val="40"/>
    </w:rPr>
    <w:pPr>
      <w:keepLines/>
      <w:keepNext/>
      <w:spacing w:before="480"/>
      <w:outlineLvl w:val="0"/>
    </w:pPr>
  </w:style>
  <w:style w:type="paragraph" w:styleId="700">
    <w:name w:val="Heading 2"/>
    <w:basedOn w:val="698"/>
    <w:next w:val="698"/>
    <w:link w:val="712"/>
    <w:qFormat/>
    <w:uiPriority w:val="9"/>
    <w:unhideWhenUsed/>
    <w:rPr>
      <w:b/>
      <w:sz w:val="34"/>
    </w:rPr>
    <w:pPr>
      <w:keepLines/>
      <w:keepNext/>
      <w:spacing w:before="360"/>
      <w:outlineLvl w:val="1"/>
    </w:pPr>
  </w:style>
  <w:style w:type="paragraph" w:styleId="701">
    <w:name w:val="Heading 3"/>
    <w:basedOn w:val="698"/>
    <w:next w:val="698"/>
    <w:link w:val="713"/>
    <w:qFormat/>
    <w:uiPriority w:val="9"/>
    <w:unhideWhenUsed/>
    <w:rPr>
      <w:b/>
      <w:sz w:val="30"/>
      <w:szCs w:val="30"/>
    </w:rPr>
    <w:pPr>
      <w:keepLines/>
      <w:keepNext/>
      <w:spacing w:before="320"/>
      <w:outlineLvl w:val="2"/>
    </w:pPr>
  </w:style>
  <w:style w:type="paragraph" w:styleId="702">
    <w:name w:val="Heading 4"/>
    <w:basedOn w:val="698"/>
    <w:next w:val="698"/>
    <w:link w:val="714"/>
    <w:qFormat/>
    <w:uiPriority w:val="9"/>
    <w:unhideWhenUsed/>
    <w:rPr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703">
    <w:name w:val="Heading 5"/>
    <w:basedOn w:val="698"/>
    <w:next w:val="698"/>
    <w:link w:val="715"/>
    <w:qFormat/>
    <w:uiPriority w:val="9"/>
    <w:unhideWhenUsed/>
    <w:rPr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704">
    <w:name w:val="Heading 6"/>
    <w:basedOn w:val="698"/>
    <w:next w:val="698"/>
    <w:link w:val="716"/>
    <w:qFormat/>
    <w:uiPriority w:val="9"/>
    <w:unhideWhenUsed/>
    <w:rPr>
      <w:b/>
      <w:bCs/>
      <w:sz w:val="22"/>
    </w:rPr>
    <w:pPr>
      <w:keepLines/>
      <w:keepNext/>
      <w:spacing w:before="320"/>
      <w:outlineLvl w:val="5"/>
    </w:pPr>
  </w:style>
  <w:style w:type="paragraph" w:styleId="705">
    <w:name w:val="Heading 7"/>
    <w:basedOn w:val="698"/>
    <w:next w:val="698"/>
    <w:link w:val="717"/>
    <w:qFormat/>
    <w:uiPriority w:val="9"/>
    <w:unhideWhenUsed/>
    <w:rPr>
      <w:b/>
      <w:bCs/>
      <w:i/>
      <w:iCs/>
      <w:sz w:val="22"/>
    </w:rPr>
    <w:pPr>
      <w:keepLines/>
      <w:keepNext/>
      <w:spacing w:before="320"/>
      <w:outlineLvl w:val="6"/>
    </w:pPr>
  </w:style>
  <w:style w:type="paragraph" w:styleId="706">
    <w:name w:val="Heading 8"/>
    <w:basedOn w:val="698"/>
    <w:next w:val="698"/>
    <w:link w:val="718"/>
    <w:qFormat/>
    <w:uiPriority w:val="9"/>
    <w:unhideWhenUsed/>
    <w:rPr>
      <w:i/>
      <w:iCs/>
      <w:sz w:val="22"/>
    </w:rPr>
    <w:pPr>
      <w:keepLines/>
      <w:keepNext/>
      <w:spacing w:before="320"/>
      <w:outlineLvl w:val="7"/>
    </w:pPr>
  </w:style>
  <w:style w:type="paragraph" w:styleId="707">
    <w:name w:val="Heading 9"/>
    <w:basedOn w:val="698"/>
    <w:next w:val="698"/>
    <w:link w:val="719"/>
    <w:qFormat/>
    <w:uiPriority w:val="9"/>
    <w:unhideWhenUsed/>
    <w:rPr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708" w:default="1">
    <w:name w:val="Default Paragraph Font"/>
    <w:uiPriority w:val="1"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Überschrift 1 Zchn"/>
    <w:link w:val="699"/>
    <w:uiPriority w:val="9"/>
    <w:rPr>
      <w:b/>
      <w:sz w:val="40"/>
      <w:szCs w:val="40"/>
    </w:rPr>
  </w:style>
  <w:style w:type="character" w:styleId="712" w:customStyle="1">
    <w:name w:val="Überschrift 2 Zchn"/>
    <w:link w:val="700"/>
    <w:uiPriority w:val="9"/>
    <w:rPr>
      <w:b/>
      <w:sz w:val="34"/>
    </w:rPr>
  </w:style>
  <w:style w:type="character" w:styleId="713" w:customStyle="1">
    <w:name w:val="Überschrift 3 Zchn"/>
    <w:link w:val="701"/>
    <w:uiPriority w:val="9"/>
    <w:rPr>
      <w:b/>
      <w:sz w:val="30"/>
      <w:szCs w:val="30"/>
    </w:rPr>
  </w:style>
  <w:style w:type="character" w:styleId="714" w:customStyle="1">
    <w:name w:val="Überschrift 4 Zchn"/>
    <w:link w:val="702"/>
    <w:uiPriority w:val="9"/>
    <w:rPr>
      <w:rFonts w:ascii="Arial" w:hAnsi="Arial" w:cs="Arial" w:eastAsia="Arial"/>
      <w:b/>
      <w:bCs/>
      <w:sz w:val="26"/>
      <w:szCs w:val="26"/>
    </w:rPr>
  </w:style>
  <w:style w:type="character" w:styleId="715" w:customStyle="1">
    <w:name w:val="Überschrift 5 Zchn"/>
    <w:link w:val="703"/>
    <w:uiPriority w:val="9"/>
    <w:rPr>
      <w:rFonts w:ascii="Arial" w:hAnsi="Arial" w:cs="Arial" w:eastAsia="Arial"/>
      <w:b/>
      <w:bCs/>
      <w:sz w:val="24"/>
      <w:szCs w:val="24"/>
    </w:rPr>
  </w:style>
  <w:style w:type="character" w:styleId="716" w:customStyle="1">
    <w:name w:val="Überschrift 6 Zchn"/>
    <w:link w:val="704"/>
    <w:uiPriority w:val="9"/>
    <w:rPr>
      <w:rFonts w:ascii="Arial" w:hAnsi="Arial" w:cs="Arial" w:eastAsia="Arial"/>
      <w:b/>
      <w:bCs/>
      <w:sz w:val="22"/>
      <w:szCs w:val="22"/>
    </w:rPr>
  </w:style>
  <w:style w:type="character" w:styleId="717" w:customStyle="1">
    <w:name w:val="Überschrift 7 Zchn"/>
    <w:link w:val="7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18" w:customStyle="1">
    <w:name w:val="Überschrift 8 Zchn"/>
    <w:link w:val="706"/>
    <w:uiPriority w:val="9"/>
    <w:rPr>
      <w:rFonts w:ascii="Arial" w:hAnsi="Arial" w:cs="Arial" w:eastAsia="Arial"/>
      <w:i/>
      <w:iCs/>
      <w:sz w:val="22"/>
      <w:szCs w:val="22"/>
    </w:rPr>
  </w:style>
  <w:style w:type="character" w:styleId="719" w:customStyle="1">
    <w:name w:val="Überschrift 9 Zchn"/>
    <w:link w:val="707"/>
    <w:uiPriority w:val="9"/>
    <w:rPr>
      <w:rFonts w:ascii="Arial" w:hAnsi="Arial" w:cs="Arial" w:eastAsia="Arial"/>
      <w:i/>
      <w:iCs/>
      <w:sz w:val="21"/>
      <w:szCs w:val="21"/>
    </w:rPr>
  </w:style>
  <w:style w:type="paragraph" w:styleId="720">
    <w:name w:val="Title"/>
    <w:basedOn w:val="698"/>
    <w:next w:val="698"/>
    <w:link w:val="72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721" w:customStyle="1">
    <w:name w:val="Titel Zchn"/>
    <w:link w:val="720"/>
    <w:uiPriority w:val="10"/>
    <w:rPr>
      <w:sz w:val="48"/>
      <w:szCs w:val="48"/>
    </w:rPr>
  </w:style>
  <w:style w:type="paragraph" w:styleId="722">
    <w:name w:val="Subtitle"/>
    <w:basedOn w:val="698"/>
    <w:next w:val="698"/>
    <w:link w:val="723"/>
    <w:qFormat/>
    <w:uiPriority w:val="11"/>
    <w:rPr>
      <w:sz w:val="24"/>
      <w:szCs w:val="24"/>
    </w:rPr>
  </w:style>
  <w:style w:type="character" w:styleId="723" w:customStyle="1">
    <w:name w:val="Untertitel Zchn"/>
    <w:link w:val="722"/>
    <w:uiPriority w:val="11"/>
    <w:rPr>
      <w:sz w:val="24"/>
      <w:szCs w:val="24"/>
    </w:rPr>
  </w:style>
  <w:style w:type="paragraph" w:styleId="724">
    <w:name w:val="Quote"/>
    <w:basedOn w:val="698"/>
    <w:next w:val="698"/>
    <w:link w:val="725"/>
    <w:qFormat/>
    <w:uiPriority w:val="29"/>
    <w:rPr>
      <w:b/>
      <w:i/>
      <w:sz w:val="28"/>
    </w:rPr>
    <w:pPr>
      <w:ind w:right="720"/>
      <w:spacing w:after="240" w:before="240"/>
    </w:pPr>
  </w:style>
  <w:style w:type="character" w:styleId="725" w:customStyle="1">
    <w:name w:val="Zitat Zchn"/>
    <w:link w:val="724"/>
    <w:uiPriority w:val="29"/>
    <w:rPr>
      <w:b/>
      <w:i/>
      <w:sz w:val="28"/>
    </w:rPr>
  </w:style>
  <w:style w:type="paragraph" w:styleId="726">
    <w:name w:val="Intense Quote"/>
    <w:basedOn w:val="698"/>
    <w:next w:val="698"/>
    <w:link w:val="727"/>
    <w:qFormat/>
    <w:uiPriority w:val="30"/>
    <w:rPr>
      <w:i/>
    </w:rPr>
    <w:pPr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27" w:customStyle="1">
    <w:name w:val="Intensives Zitat Zchn"/>
    <w:link w:val="726"/>
    <w:uiPriority w:val="30"/>
    <w:rPr>
      <w:i/>
    </w:rPr>
  </w:style>
  <w:style w:type="paragraph" w:styleId="728">
    <w:name w:val="Header"/>
    <w:basedOn w:val="698"/>
    <w:link w:val="72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29" w:customStyle="1">
    <w:name w:val="Kopfzeile Zchn"/>
    <w:link w:val="728"/>
    <w:uiPriority w:val="99"/>
  </w:style>
  <w:style w:type="paragraph" w:styleId="730">
    <w:name w:val="Footer"/>
    <w:basedOn w:val="698"/>
    <w:link w:val="73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31" w:customStyle="1">
    <w:name w:val="Footer Char"/>
    <w:uiPriority w:val="99"/>
  </w:style>
  <w:style w:type="paragraph" w:styleId="732">
    <w:name w:val="Caption"/>
    <w:basedOn w:val="698"/>
    <w:next w:val="698"/>
    <w:qFormat/>
    <w:uiPriority w:val="35"/>
    <w:unhideWhenUsed/>
    <w:rPr>
      <w:b/>
      <w:bCs/>
      <w:color w:val="5B9BD5" w:themeColor="accent1"/>
      <w:sz w:val="18"/>
      <w:szCs w:val="18"/>
    </w:rPr>
  </w:style>
  <w:style w:type="character" w:styleId="733" w:customStyle="1">
    <w:name w:val="Fußzeile Zchn"/>
    <w:link w:val="730"/>
    <w:uiPriority w:val="99"/>
  </w:style>
  <w:style w:type="table" w:styleId="734">
    <w:name w:val="Table Grid"/>
    <w:basedOn w:val="709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735" w:customStyle="1">
    <w:name w:val="Table Grid Light"/>
    <w:basedOn w:val="709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36">
    <w:name w:val="Plain Table 1"/>
    <w:basedOn w:val="709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709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41">
    <w:name w:val="Grid Table 1 Light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49" w:customStyle="1">
    <w:name w:val="Grid Table 2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50" w:customStyle="1">
    <w:name w:val="Grid Table 2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1" w:customStyle="1">
    <w:name w:val="Grid Table 2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2" w:customStyle="1">
    <w:name w:val="Grid Table 2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3" w:customStyle="1">
    <w:name w:val="Grid Table 2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4" w:customStyle="1">
    <w:name w:val="Grid Table 2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6" w:customStyle="1">
    <w:name w:val="Grid Table 3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7" w:customStyle="1">
    <w:name w:val="Grid Table 3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8" w:customStyle="1">
    <w:name w:val="Grid Table 3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9" w:customStyle="1">
    <w:name w:val="Grid Table 3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0" w:customStyle="1">
    <w:name w:val="Grid Table 3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Grid Table 3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Grid Table 4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63" w:customStyle="1">
    <w:name w:val="Grid Table 4 - Accent 1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68A2D8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64" w:customStyle="1">
    <w:name w:val="Grid Table 4 - Accent 2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65" w:customStyle="1">
    <w:name w:val="Grid Table 4 - Accent 3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66" w:customStyle="1">
    <w:name w:val="Grid Table 4 - Accent 4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67" w:customStyle="1">
    <w:name w:val="Grid Table 4 - Accent 5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68" w:customStyle="1">
    <w:name w:val="Grid Table 4 - Accent 6"/>
    <w:basedOn w:val="709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69">
    <w:name w:val="Grid Table 5 Dark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BFBFBF"/>
    </w:tblPr>
    <w:tblStylePr w:type="band1Horz">
      <w:tcPr>
        <w:shd w:val="clear" w:color="FFFFFF" w:fill="8A8A8A"/>
      </w:tcPr>
    </w:tblStylePr>
    <w:tblStylePr w:type="band1Vert">
      <w:tcPr>
        <w:shd w:val="clear" w:color="FFFFFF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FFFFFF" w:sz="4" w:space="0" w:themeColor="light1"/>
        </w:tcBorders>
      </w:tcPr>
    </w:tblStylePr>
  </w:style>
  <w:style w:type="table" w:styleId="770" w:customStyle="1">
    <w:name w:val="Grid Table 5 Dark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DEAF6"/>
    </w:tblPr>
    <w:tblStylePr w:type="band1Horz">
      <w:tcPr>
        <w:shd w:val="clear" w:color="FFFFFF" w:fill="B3D0EB"/>
      </w:tcPr>
    </w:tblStylePr>
    <w:tblStylePr w:type="band1Vert">
      <w:tcPr>
        <w:shd w:val="clear" w:color="FFFFFF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5B9BD5"/>
        <w:tcBorders>
          <w:top w:val="single" w:color="FFFFFF" w:sz="4" w:space="0" w:themeColor="light1"/>
        </w:tcBorders>
      </w:tcPr>
    </w:tblStylePr>
  </w:style>
  <w:style w:type="table" w:styleId="771" w:customStyle="1">
    <w:name w:val="Grid Table 5 Dark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BE5D6"/>
    </w:tblPr>
    <w:tblStylePr w:type="band1Horz">
      <w:tcPr>
        <w:shd w:val="clear" w:color="FFFFFF" w:fill="F6C3A0"/>
      </w:tcPr>
    </w:tblStylePr>
    <w:tblStylePr w:type="band1Vert">
      <w:tcPr>
        <w:shd w:val="clear" w:color="FFFFFF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ED7D31"/>
        <w:tcBorders>
          <w:top w:val="single" w:color="FFFFFF" w:sz="4" w:space="0" w:themeColor="light1"/>
        </w:tcBorders>
      </w:tcPr>
    </w:tblStylePr>
  </w:style>
  <w:style w:type="table" w:styleId="772" w:customStyle="1">
    <w:name w:val="Grid Table 5 Dark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CECEC"/>
    </w:tblPr>
    <w:tblStylePr w:type="band1Horz">
      <w:tcPr>
        <w:shd w:val="clear" w:color="FFFFFF" w:fill="D5D5D5"/>
      </w:tcPr>
    </w:tblStylePr>
    <w:tblStylePr w:type="band1Vert">
      <w:tcPr>
        <w:shd w:val="clear" w:color="FFFFFF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A5A5A5"/>
        <w:tcBorders>
          <w:top w:val="single" w:color="FFFFFF" w:sz="4" w:space="0" w:themeColor="light1"/>
        </w:tcBorders>
      </w:tcPr>
    </w:tblStylePr>
  </w:style>
  <w:style w:type="table" w:styleId="773" w:customStyle="1">
    <w:name w:val="Grid Table 5 Dark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FF2CB"/>
    </w:tblPr>
    <w:tblStylePr w:type="band1Horz">
      <w:tcPr>
        <w:shd w:val="clear" w:color="FFFFFF" w:fill="FFE28A"/>
      </w:tcPr>
    </w:tblStylePr>
    <w:tblStylePr w:type="band1Vert">
      <w:tcPr>
        <w:shd w:val="clear" w:color="FFFFFF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C000"/>
        <w:tcBorders>
          <w:top w:val="single" w:color="FFFFFF" w:sz="4" w:space="0" w:themeColor="light1"/>
        </w:tcBorders>
      </w:tcPr>
    </w:tblStylePr>
  </w:style>
  <w:style w:type="table" w:styleId="774" w:customStyle="1">
    <w:name w:val="Grid Table 5 Dark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8E2F3"/>
    </w:tblPr>
    <w:tblStylePr w:type="band1Horz">
      <w:tcPr>
        <w:shd w:val="clear" w:color="FFFFFF" w:fill="A9BEE4"/>
      </w:tcPr>
    </w:tblStylePr>
    <w:tblStylePr w:type="band1Vert">
      <w:tcPr>
        <w:shd w:val="clear" w:color="FFFFFF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472C4"/>
        <w:tcBorders>
          <w:top w:val="single" w:color="FFFFFF" w:sz="4" w:space="0" w:themeColor="light1"/>
        </w:tcBorders>
      </w:tcPr>
    </w:tblStylePr>
  </w:style>
  <w:style w:type="table" w:styleId="775" w:customStyle="1">
    <w:name w:val="Grid Table 5 Dark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1EFD8"/>
    </w:tblPr>
    <w:tblStylePr w:type="band1Horz">
      <w:tcPr>
        <w:shd w:val="clear" w:color="FFFFFF" w:fill="BCDBA8"/>
      </w:tcPr>
    </w:tblStylePr>
    <w:tblStylePr w:type="band1Vert">
      <w:tcPr>
        <w:shd w:val="clear" w:color="FFFFFF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70AD47"/>
        <w:tcBorders>
          <w:top w:val="single" w:color="FFFFFF" w:sz="4" w:space="0" w:themeColor="light1"/>
        </w:tcBorders>
      </w:tcPr>
    </w:tblStylePr>
  </w:style>
  <w:style w:type="table" w:styleId="776">
    <w:name w:val="Grid Table 6 Colorful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/>
      </w:tcPr>
    </w:tblStylePr>
    <w:tblStylePr w:type="band1Vert"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7" w:customStyle="1">
    <w:name w:val="Grid Table 6 Colorful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8" w:customStyle="1">
    <w:name w:val="Grid Table 6 Colorful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9" w:customStyle="1">
    <w:name w:val="Grid Table 6 Colorful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0" w:customStyle="1">
    <w:name w:val="Grid Table 6 Colorful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1" w:customStyle="1">
    <w:name w:val="Grid Table 6 Colorful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2" w:customStyle="1">
    <w:name w:val="Grid Table 6 Colorful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3">
    <w:name w:val="Grid Table 7 Colorful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84" w:customStyle="1">
    <w:name w:val="Grid Table 7 Colorful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CCCEA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left w:val="single" w:color="ACCCEA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ACCCEA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785" w:customStyle="1">
    <w:name w:val="Grid Table 7 Colorful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86" w:customStyle="1">
    <w:name w:val="Grid Table 7 Colorful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787" w:customStyle="1">
    <w:name w:val="Grid Table 7 Colorful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88" w:customStyle="1">
    <w:name w:val="Grid Table 7 Colorful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95AFDD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left w:val="single" w:color="95AFDD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single" w:color="95AFDD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789" w:customStyle="1">
    <w:name w:val="Grid Table 7 Colorful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790">
    <w:name w:val="List Table 1 Light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91" w:customStyle="1">
    <w:name w:val="List Table 1 Light - Accent 1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92" w:customStyle="1">
    <w:name w:val="List Table 1 Light - Accent 2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93" w:customStyle="1">
    <w:name w:val="List Table 1 Light - Accent 3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94" w:customStyle="1">
    <w:name w:val="List Table 1 Light - Accent 4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95" w:customStyle="1">
    <w:name w:val="List Table 1 Light - Accent 5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96" w:customStyle="1">
    <w:name w:val="List Table 1 Light - Accent 6"/>
    <w:basedOn w:val="709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97">
    <w:name w:val="List Table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98" w:customStyle="1">
    <w:name w:val="List Table 2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99" w:customStyle="1">
    <w:name w:val="List Table 2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800" w:customStyle="1">
    <w:name w:val="List Table 2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801" w:customStyle="1">
    <w:name w:val="List Table 2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802" w:customStyle="1">
    <w:name w:val="List Table 2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803" w:customStyle="1">
    <w:name w:val="List Table 2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804">
    <w:name w:val="List Table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FFFFFF" w:fill="7F7F7F"/>
    </w:tblPr>
    <w:tblStylePr w:type="band1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FFFFFF" w:fill="5B9BD5"/>
    </w:tblPr>
    <w:tblStylePr w:type="band1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5B9BD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5B9BD5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FFFFF" w:fill="F4B184"/>
    </w:tblPr>
    <w:tblStylePr w:type="band1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4B184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FFFFFF" w:fill="C9C9C9"/>
    </w:tblPr>
    <w:tblStylePr w:type="band1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9C9C9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FFFF" w:fill="FFD865"/>
    </w:tblPr>
    <w:tblStylePr w:type="band1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D865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FFFFFF" w:fill="8DA9DB"/>
    </w:tblPr>
    <w:tblStylePr w:type="band1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8DA9DB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8DA9DB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FFFFFF" w:fill="A9D08E"/>
    </w:tblPr>
    <w:tblStylePr w:type="band1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A9D08E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>
    <w:name w:val="List Table 6 Colorful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826" w:customStyle="1">
    <w:name w:val="List Table 6 Colorful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827" w:customStyle="1">
    <w:name w:val="List Table 6 Colorful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28" w:customStyle="1">
    <w:name w:val="List Table 6 Colorful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29" w:customStyle="1">
    <w:name w:val="List Table 6 Colorful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30" w:customStyle="1">
    <w:name w:val="List Table 6 Colorful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831" w:customStyle="1">
    <w:name w:val="List Table 6 Colorful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32">
    <w:name w:val="List Table 7 Colorful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833" w:customStyle="1">
    <w:name w:val="List Table 7 Colorful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5B9BD5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single" w:color="5B9BD5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single" w:color="5B9BD5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834" w:customStyle="1">
    <w:name w:val="List Table 7 Colorful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835" w:customStyle="1">
    <w:name w:val="List Table 7 Colorful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836" w:customStyle="1">
    <w:name w:val="List Table 7 Colorful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837" w:customStyle="1">
    <w:name w:val="List Table 7 Colorful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8DA9DB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single" w:color="8DA9DB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8DA9DB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838" w:customStyle="1">
    <w:name w:val="List Table 7 Colorful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839" w:customStyle="1">
    <w:name w:val="Lined - Accent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40" w:customStyle="1">
    <w:name w:val="Lined - Accent 1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41" w:customStyle="1">
    <w:name w:val="Lined - Accent 2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42" w:customStyle="1">
    <w:name w:val="Lined - Accent 3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43" w:customStyle="1">
    <w:name w:val="Lined - Accent 4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44" w:customStyle="1">
    <w:name w:val="Lined - Accent 5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45" w:customStyle="1">
    <w:name w:val="Lined - Accent 6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46" w:customStyle="1">
    <w:name w:val="Bordered &amp; Lined - Accent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47" w:customStyle="1">
    <w:name w:val="Bordered &amp; Lined - Accent 1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48" w:customStyle="1">
    <w:name w:val="Bordered &amp; Lined - Accent 2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49" w:customStyle="1">
    <w:name w:val="Bordered &amp; Lined - Accent 3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50" w:customStyle="1">
    <w:name w:val="Bordered &amp; Lined - Accent 4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51" w:customStyle="1">
    <w:name w:val="Bordered &amp; Lined - Accent 5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52" w:customStyle="1">
    <w:name w:val="Bordered &amp; Lined - Accent 6"/>
    <w:basedOn w:val="709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53" w:customStyle="1">
    <w:name w:val="Bordered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54" w:customStyle="1">
    <w:name w:val="Bordered - Accent 1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55" w:customStyle="1">
    <w:name w:val="Bordered - Accent 2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56" w:customStyle="1">
    <w:name w:val="Bordered - Accent 3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57" w:customStyle="1">
    <w:name w:val="Bordered - Accent 4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58" w:customStyle="1">
    <w:name w:val="Bordered - Accent 5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59" w:customStyle="1">
    <w:name w:val="Bordered - Accent 6"/>
    <w:basedOn w:val="709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60">
    <w:name w:val="Hyperlink"/>
    <w:uiPriority w:val="99"/>
    <w:unhideWhenUsed/>
    <w:rPr>
      <w:color w:val="0563C1" w:themeColor="hyperlink"/>
      <w:u w:val="single"/>
    </w:rPr>
  </w:style>
  <w:style w:type="paragraph" w:styleId="861">
    <w:name w:val="footnote text"/>
    <w:basedOn w:val="698"/>
    <w:link w:val="862"/>
    <w:uiPriority w:val="99"/>
    <w:semiHidden/>
    <w:unhideWhenUsed/>
    <w:rPr>
      <w:sz w:val="18"/>
    </w:rPr>
    <w:pPr>
      <w:spacing w:lineRule="auto" w:line="240" w:after="40"/>
    </w:pPr>
  </w:style>
  <w:style w:type="character" w:styleId="862" w:customStyle="1">
    <w:name w:val="Fußnotentext Zchn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698"/>
    <w:link w:val="865"/>
    <w:uiPriority w:val="99"/>
    <w:semiHidden/>
    <w:unhideWhenUsed/>
    <w:rPr>
      <w:sz w:val="20"/>
    </w:rPr>
    <w:pPr>
      <w:spacing w:lineRule="auto" w:line="240" w:after="0"/>
    </w:pPr>
  </w:style>
  <w:style w:type="character" w:styleId="865" w:customStyle="1">
    <w:name w:val="Endnotentext Zchn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698"/>
    <w:next w:val="698"/>
    <w:uiPriority w:val="39"/>
    <w:unhideWhenUsed/>
    <w:pPr>
      <w:spacing w:after="57"/>
    </w:pPr>
  </w:style>
  <w:style w:type="paragraph" w:styleId="868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69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870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871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872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873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874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875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698"/>
    <w:next w:val="698"/>
    <w:uiPriority w:val="99"/>
    <w:unhideWhenUsed/>
    <w:pPr>
      <w:spacing w:after="0"/>
    </w:pPr>
  </w:style>
  <w:style w:type="paragraph" w:styleId="878">
    <w:name w:val="No Spacing"/>
    <w:basedOn w:val="698"/>
    <w:qFormat/>
    <w:uiPriority w:val="1"/>
    <w:pPr>
      <w:spacing w:lineRule="auto" w:line="240" w:after="0"/>
    </w:pPr>
  </w:style>
  <w:style w:type="paragraph" w:styleId="879">
    <w:name w:val="List Paragraph"/>
    <w:basedOn w:val="698"/>
    <w:qFormat/>
    <w:uiPriority w:val="34"/>
    <w:rPr>
      <w:b/>
      <w:bCs/>
    </w:rPr>
    <w:pPr>
      <w:numPr>
        <w:numId w:val="1"/>
      </w:numPr>
      <w:contextualSpacing w:val="true"/>
      <w:ind w:left="1077" w:hanging="357"/>
    </w:pPr>
  </w:style>
  <w:style w:type="character" w:styleId="880">
    <w:name w:val="FollowedHyperlink"/>
    <w:basedOn w:val="708"/>
    <w:uiPriority w:val="99"/>
    <w:semiHidden/>
    <w:unhideWhenUsed/>
    <w:rPr>
      <w:color w:val="954F72" w:themeColor="followedHyperlink"/>
      <w:u w:val="single"/>
    </w:rPr>
  </w:style>
  <w:style w:type="paragraph" w:styleId="881" w:customStyle="1">
    <w:name w:val="Nummerierung"/>
    <w:basedOn w:val="879"/>
    <w:qFormat/>
    <w:pPr>
      <w:numPr>
        <w:numId w:val="4"/>
      </w:numPr>
    </w:pPr>
  </w:style>
  <w:style w:type="character" w:styleId="882">
    <w:name w:val="Unresolved Mention"/>
    <w:basedOn w:val="708"/>
    <w:uiPriority w:val="99"/>
    <w:semiHidden/>
    <w:unhideWhenUsed/>
    <w:rPr>
      <w:color w:val="605E5C"/>
      <w:shd w:val="clear" w:fill="E1DFDD" w:color="auto"/>
    </w:rPr>
  </w:style>
  <w:style w:type="paragraph" w:styleId="883">
    <w:name w:val="Balloon Text"/>
    <w:basedOn w:val="698"/>
    <w:link w:val="884"/>
    <w:uiPriority w:val="99"/>
    <w:semiHidden/>
    <w:unhideWhenUsed/>
    <w:rPr>
      <w:rFonts w:ascii="Times New Roman" w:hAnsi="Times New Roman" w:cs="Times New Roman"/>
      <w:sz w:val="18"/>
      <w:szCs w:val="18"/>
    </w:rPr>
    <w:pPr>
      <w:spacing w:lineRule="auto" w:line="240" w:after="0"/>
    </w:pPr>
  </w:style>
  <w:style w:type="character" w:styleId="884" w:customStyle="1">
    <w:name w:val="Sprechblasentext Zchn"/>
    <w:basedOn w:val="708"/>
    <w:link w:val="883"/>
    <w:uiPriority w:val="99"/>
    <w:semiHidden/>
    <w:rPr>
      <w:rFonts w:ascii="Times New Roman" w:hAnsi="Times New Roman" w:cs="Times New Roman"/>
      <w:sz w:val="18"/>
      <w:szCs w:val="18"/>
    </w:rPr>
  </w:style>
  <w:style w:type="numbering" w:styleId="885" w:customStyle="1">
    <w:name w:val="Formatvorlage1"/>
    <w:basedOn w:val="710"/>
    <w:uiPriority w:val="99"/>
    <w:pPr>
      <w:numPr>
        <w:numId w:val="5"/>
      </w:numPr>
    </w:pPr>
  </w:style>
  <w:style w:type="numbering" w:styleId="886" w:customStyle="1">
    <w:name w:val="Liste_nummer"/>
    <w:basedOn w:val="710"/>
    <w:uiPriority w:val="99"/>
    <w:pPr>
      <w:numPr>
        <w:numId w:val="6"/>
      </w:numPr>
    </w:pPr>
  </w:style>
  <w:style w:type="numbering" w:styleId="887" w:customStyle="1">
    <w:name w:val="NummerierungNeu"/>
    <w:basedOn w:val="710"/>
    <w:uiPriority w:val="99"/>
    <w:pPr>
      <w:numPr>
        <w:numId w:val="7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hyperlink" Target="https://creativecommons.org/licenses/by-sa/4.0/deed.de" TargetMode="External"/><Relationship Id="rId13" Type="http://schemas.openxmlformats.org/officeDocument/2006/relationships/hyperlink" Target="https://hochschulforumdigitalisierung.de/de/blog/anleitung-audience-response-systeme" TargetMode="External"/><Relationship Id="rId14" Type="http://schemas.openxmlformats.org/officeDocument/2006/relationships/hyperlink" Target="https://www.tugraz.at/fileadmin/user_upload/tugrazInternal/Studium/Lehre/Lehre_News/feedbackr_Use_Cases_Lehre.pdf" TargetMode="External"/><Relationship Id="rId15" Type="http://schemas.openxmlformats.org/officeDocument/2006/relationships/image" Target="media/image1.png"/><Relationship Id="rId16" Type="http://schemas.openxmlformats.org/officeDocument/2006/relationships/hyperlink" Target="https://groups.uni-paderborn.de/winfo2/pingo/misc/PINGO_Didaktische%20Handreichung%20Einsatzm&#246;glichkeiten_final.pdf" TargetMode="External"/><Relationship Id="rId17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CB2409AB-C345-744E-96DF-6FF9471E7D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#03 AUDIENCE-RESPONSESYSTEME - Feedbackr &amp; Co. in der didaktischen Umsetzung</dc:title>
  <dc:subject/>
  <dc:creator>Clarissa Braun</dc:creator>
  <cp:keywords/>
  <dc:description/>
  <cp:lastModifiedBy>Valgoi, Elisabetta (e.valgoi@tugraz.at)</cp:lastModifiedBy>
  <cp:revision>21</cp:revision>
  <dcterms:created xsi:type="dcterms:W3CDTF">2021-06-14T11:41:00Z</dcterms:created>
  <dcterms:modified xsi:type="dcterms:W3CDTF">2021-07-22T10:15:59Z</dcterms:modified>
</cp:coreProperties>
</file>