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contextualSpacing w:val="0"/>
        <w:jc w:val="left"/>
        <w:spacing w:before="200" w:after="200"/>
        <w:suppressLineNumbers w:val="0"/>
      </w:pPr>
      <w:r>
        <w:t xml:space="preserve">Didaktik </w:t>
      </w:r>
      <w:r>
        <w:t xml:space="preserve">#0</w:t>
      </w:r>
      <w:r>
        <w:t xml:space="preserve">6 </w:t>
      </w:r>
      <w:r>
        <w:rPr>
          <w:lang w:val="en-GB"/>
        </w:rPr>
        <w:t xml:space="preserve">Learning Experience Design</w:t>
      </w:r>
      <w:r>
        <w:t xml:space="preserve"> - eine Design-Disziplin</w:t>
      </w:r>
      <w:r/>
    </w:p>
    <w:tbl>
      <w:tblPr>
        <w:tblStyle w:val="715"/>
        <w:tblW w:w="0" w:type="auto"/>
        <w:tblLook w:val="0480" w:firstRow="0" w:lastRow="0" w:firstColumn="1" w:lastColumn="0" w:noHBand="0" w:noVBand="1"/>
      </w:tblPr>
      <w:tblGrid>
        <w:gridCol w:w="4673"/>
        <w:gridCol w:w="4672"/>
      </w:tblGrid>
      <w:tr>
        <w:trPr/>
        <w:tc>
          <w:tcPr>
            <w:tcW w:w="4673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 w:line="276" w:lineRule="auto"/>
              <w:rPr>
                <w:bCs/>
                <w:color w:val="000000"/>
              </w:rPr>
              <w:suppressLineNumbers w:val="0"/>
            </w:pPr>
            <w:r>
              <w:rPr>
                <w:bCs/>
                <w:color w:val="000000" w:themeColor="text1"/>
              </w:rPr>
              <w:t xml:space="preserve">Autor</w:t>
            </w:r>
            <w:r>
              <w:rPr>
                <w:bCs/>
                <w:color w:val="000000" w:themeColor="text1"/>
              </w:rPr>
              <w:t xml:space="preserve">:innen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color w:val="000000"/>
              </w:rPr>
              <w:suppressLineNumbers w:val="0"/>
            </w:pPr>
            <w:r>
              <w:rPr>
                <w:color w:val="000000" w:themeColor="text1"/>
              </w:rPr>
              <w:t xml:space="preserve">T U Graz Lehr- und Lerntechnologien</w:t>
            </w:r>
            <w:r/>
          </w:p>
        </w:tc>
      </w:tr>
      <w:tr>
        <w:trPr/>
        <w:tc>
          <w:tcPr>
            <w:tcW w:w="4673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 w:line="276" w:lineRule="auto"/>
              <w:rPr>
                <w:bCs/>
                <w:color w:val="000000"/>
              </w:rPr>
              <w:suppressLineNumbers w:val="0"/>
            </w:pPr>
            <w:r>
              <w:rPr>
                <w:bCs/>
                <w:color w:val="000000" w:themeColor="text1"/>
              </w:rPr>
              <w:t xml:space="preserve">Veröffentlichung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 w:line="276" w:lineRule="auto"/>
              <w:rPr>
                <w:color w:val="000000"/>
              </w:rPr>
              <w:suppressLineNumbers w:val="0"/>
            </w:pPr>
            <w:r>
              <w:rPr>
                <w:color w:val="000000" w:themeColor="text1"/>
              </w:rPr>
              <w:t xml:space="preserve">September 20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1</w:t>
            </w:r>
            <w:r/>
          </w:p>
        </w:tc>
      </w:tr>
      <w:tr>
        <w:trPr/>
        <w:tc>
          <w:tcPr>
            <w:tcW w:w="4673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 w:line="276" w:lineRule="auto"/>
              <w:rPr>
                <w:bCs/>
                <w:color w:val="000000"/>
              </w:rPr>
              <w:suppressLineNumbers w:val="0"/>
            </w:pPr>
            <w:r>
              <w:rPr>
                <w:bCs/>
                <w:color w:val="000000" w:themeColor="text1"/>
              </w:rPr>
              <w:t xml:space="preserve">Lizenz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 w:line="276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color w:val="000000" w:themeColor="text1"/>
              </w:rPr>
              <w:t xml:space="preserve">Lizenziert unter der </w:t>
            </w:r>
            <w:hyperlink r:id="rId12" w:tooltip="CC BY 4.0" w:history="1">
              <w:r>
                <w:rPr>
                  <w:rStyle w:val="839"/>
                  <w:color w:val="0070C0"/>
                </w:rPr>
                <w:t xml:space="preserve">Creati</w:t>
              </w:r>
              <w:r>
                <w:rPr>
                  <w:rStyle w:val="839"/>
                  <w:color w:val="0070C0"/>
                </w:rPr>
                <w:t xml:space="preserve">v</w:t>
              </w:r>
              <w:r>
                <w:rPr>
                  <w:rStyle w:val="839"/>
                  <w:color w:val="0070C0"/>
                </w:rPr>
                <w:t xml:space="preserve">e-</w:t>
              </w:r>
              <w:r>
                <w:rPr>
                  <w:rStyle w:val="839"/>
                  <w:color w:val="0070C0"/>
                </w:rPr>
                <w:t xml:space="preserve">Commons</w:t>
              </w:r>
              <w:r>
                <w:rPr>
                  <w:rStyle w:val="839"/>
                  <w:color w:val="0070C0"/>
                </w:rPr>
                <w:t xml:space="preserve">-Lizenz CC BY 4.0</w:t>
              </w:r>
            </w:hyperlink>
            <w:r/>
            <w:r/>
          </w:p>
        </w:tc>
      </w:tr>
    </w:tbl>
    <w:p>
      <w:pPr>
        <w:contextualSpacing w:val="0"/>
        <w:jc w:val="left"/>
        <w:spacing w:before="200" w:after="200" w:line="276" w:lineRule="auto"/>
        <w:rPr>
          <w:sz w:val="24"/>
          <w:highlight w:val="none"/>
        </w:rPr>
        <w:suppressLineNumbers w:val="0"/>
      </w:pPr>
      <w:r>
        <w:rPr>
          <w:sz w:val="24"/>
          <w:szCs w:val="24"/>
        </w:rPr>
        <w:t xml:space="preserve">Wenn die Organisationseinheit Lehr- und Lerntechnologien Sie mit digitalen Lehr- und Lernumgebungen unterstützt, dann wird </w:t>
      </w:r>
      <w:r>
        <w:rPr>
          <w:sz w:val="24"/>
          <w:szCs w:val="24"/>
        </w:rPr>
        <w:t xml:space="preserve">unsere Entwicklung von </w:t>
      </w:r>
      <w:r>
        <w:rPr>
          <w:sz w:val="24"/>
          <w:szCs w:val="24"/>
          <w:lang w:val="en-GB"/>
        </w:rPr>
        <w:t xml:space="preserve">Learning Experience Design</w:t>
      </w:r>
      <w:r>
        <w:rPr>
          <w:sz w:val="24"/>
          <w:szCs w:val="24"/>
        </w:rPr>
        <w:t xml:space="preserve"> (L X D) stark geleitet</w:t>
      </w:r>
      <w:r>
        <w:rPr>
          <w:sz w:val="24"/>
          <w:szCs w:val="24"/>
        </w:rPr>
        <w:t xml:space="preserve">.</w:t>
      </w:r>
      <w:r/>
    </w:p>
    <w:p>
      <w:pPr>
        <w:contextualSpacing w:val="0"/>
        <w:jc w:val="left"/>
        <w:spacing w:before="200" w:after="200" w:line="276" w:lineRule="auto"/>
        <w:rPr>
          <w:sz w:val="24"/>
          <w:highlight w:val="none"/>
        </w:rPr>
        <w:suppressLineNumbers w:val="0"/>
      </w:pPr>
      <w:r>
        <w:rPr>
          <w:sz w:val="24"/>
          <w:szCs w:val="24"/>
          <w:highlight w:val="none"/>
          <w:lang w:val="en-GB"/>
        </w:rPr>
        <w:t xml:space="preserve">Learning Experience Design</w:t>
      </w:r>
      <w:r>
        <w:rPr>
          <w:sz w:val="24"/>
          <w:szCs w:val="24"/>
          <w:highlight w:val="none"/>
        </w:rPr>
        <w:t xml:space="preserve"> setzt sich aus </w:t>
      </w:r>
      <w:r>
        <w:rPr>
          <w:sz w:val="24"/>
          <w:szCs w:val="24"/>
          <w:highlight w:val="none"/>
        </w:rPr>
        <w:t xml:space="preserve">drei Begriffen zusammen: </w:t>
      </w:r>
      <w:r>
        <w:rPr>
          <w:sz w:val="24"/>
          <w:szCs w:val="24"/>
          <w:highlight w:val="none"/>
          <w:lang w:val="en-GB"/>
        </w:rPr>
        <w:t xml:space="preserve">Learning </w:t>
      </w:r>
      <w:r>
        <w:rPr>
          <w:sz w:val="24"/>
          <w:szCs w:val="24"/>
          <w:highlight w:val="none"/>
        </w:rPr>
        <w:t xml:space="preserve">(Lernen), </w:t>
      </w:r>
      <w:r>
        <w:rPr>
          <w:sz w:val="24"/>
          <w:szCs w:val="24"/>
          <w:highlight w:val="none"/>
          <w:lang w:val="en-GB"/>
        </w:rPr>
        <w:t xml:space="preserve">Experience </w:t>
      </w:r>
      <w:r>
        <w:rPr>
          <w:sz w:val="24"/>
          <w:szCs w:val="24"/>
          <w:highlight w:val="none"/>
        </w:rPr>
        <w:t xml:space="preserve">(Erfahrung) und </w:t>
      </w:r>
      <w:r>
        <w:rPr>
          <w:sz w:val="24"/>
          <w:szCs w:val="24"/>
          <w:highlight w:val="none"/>
          <w:lang w:val="en-GB"/>
        </w:rPr>
        <w:t xml:space="preserve">Design </w:t>
      </w:r>
      <w:r>
        <w:rPr>
          <w:sz w:val="24"/>
          <w:szCs w:val="24"/>
          <w:highlight w:val="none"/>
        </w:rPr>
        <w:t xml:space="preserve">(Gestaltung). </w:t>
      </w:r>
      <w:r>
        <w:rPr>
          <w:sz w:val="24"/>
          <w:szCs w:val="24"/>
          <w:highlight w:val="none"/>
        </w:rPr>
        <w:t xml:space="preserve">Darunter versteht man die Gestaltung von </w:t>
      </w:r>
      <w:r>
        <w:rPr>
          <w:sz w:val="24"/>
          <w:szCs w:val="24"/>
          <w:highlight w:val="none"/>
        </w:rPr>
        <w:t xml:space="preserve">Lernerfahrungen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contextualSpacing w:val="0"/>
        <w:jc w:val="left"/>
        <w:spacing w:before="200" w:after="200" w:line="276" w:lineRule="auto"/>
        <w:tabs>
          <w:tab w:val="center" w:pos="4677" w:leader="none"/>
        </w:tabs>
        <w:rPr>
          <w:sz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Bei dieser Form der Gestaltung werden Design-Wissen und -Methoden herangezogen </w:t>
      </w:r>
      <w:r>
        <w:rPr>
          <w:sz w:val="24"/>
          <w:szCs w:val="24"/>
          <w:highlight w:val="none"/>
        </w:rPr>
        <w:t xml:space="preserve">und die dafür passenden Technologien eingesetzt. L X D kombiniert also spezifisches </w:t>
      </w:r>
      <w:r>
        <w:rPr>
          <w:sz w:val="24"/>
          <w:szCs w:val="24"/>
          <w:highlight w:val="none"/>
        </w:rPr>
        <w:t xml:space="preserve">Design-Wissen und -Methoden mit dem Wissen und Erfahrungen aus dem Bereich der </w:t>
      </w:r>
      <w:r>
        <w:rPr>
          <w:sz w:val="24"/>
          <w:szCs w:val="24"/>
          <w:highlight w:val="none"/>
        </w:rPr>
        <w:t xml:space="preserve">methodisch-didaktischen Gestaltung von Lernerfahrungen. Design-Wissen und Methoden </w:t>
      </w:r>
      <w:r>
        <w:rPr>
          <w:sz w:val="24"/>
          <w:szCs w:val="24"/>
          <w:highlight w:val="none"/>
        </w:rPr>
        <w:t xml:space="preserve">werden unter anderem aus den Bereichen </w:t>
      </w:r>
      <w:r>
        <w:rPr>
          <w:sz w:val="24"/>
          <w:szCs w:val="24"/>
          <w:highlight w:val="none"/>
          <w:lang w:val="en-GB"/>
        </w:rPr>
        <w:t xml:space="preserve">Interaction Design</w:t>
      </w:r>
      <w:r>
        <w:rPr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  <w:lang w:val="en-GB"/>
        </w:rPr>
        <w:t xml:space="preserve">User Experience Design</w:t>
      </w:r>
      <w:r>
        <w:rPr>
          <w:sz w:val="24"/>
          <w:szCs w:val="24"/>
          <w:highlight w:val="none"/>
        </w:rPr>
        <w:t xml:space="preserve"> und </w:t>
      </w:r>
      <w:r>
        <w:rPr>
          <w:sz w:val="24"/>
          <w:szCs w:val="24"/>
          <w:highlight w:val="none"/>
        </w:rPr>
        <w:t xml:space="preserve">Grafikdesign herangezogen. Des Weiteren ist eine gute Zusammenarbeit mit Kolleg:innen </w:t>
      </w:r>
      <w:r>
        <w:rPr>
          <w:sz w:val="24"/>
          <w:szCs w:val="24"/>
          <w:highlight w:val="none"/>
        </w:rPr>
        <w:t xml:space="preserve">aus Fachdisziplinen wie zum Beispiel aus der </w:t>
      </w:r>
      <w:r>
        <w:rPr>
          <w:sz w:val="24"/>
          <w:szCs w:val="24"/>
          <w:highlight w:val="none"/>
          <w:lang w:val="en-GB"/>
        </w:rPr>
        <w:t xml:space="preserve">IT</w:t>
      </w:r>
      <w:r>
        <w:rPr>
          <w:sz w:val="24"/>
          <w:szCs w:val="24"/>
          <w:highlight w:val="none"/>
        </w:rPr>
        <w:t xml:space="preserve"> und Anwendungsentwicklung nötig (Ahn, 2019; Schmidt et al., 2020). </w:t>
      </w:r>
      <w:r>
        <w:rPr>
          <w:sz w:val="24"/>
          <w:szCs w:val="24"/>
          <w:highlight w:val="none"/>
        </w:rPr>
        <w:t xml:space="preserve">Nachfolgend werden nun die Begriffe </w:t>
      </w:r>
      <w:r>
        <w:rPr>
          <w:sz w:val="24"/>
          <w:szCs w:val="24"/>
          <w:highlight w:val="none"/>
          <w:lang w:val="en-GB"/>
        </w:rPr>
        <w:t xml:space="preserve">Experience, Learning</w:t>
      </w:r>
      <w:r>
        <w:rPr>
          <w:sz w:val="24"/>
          <w:szCs w:val="24"/>
          <w:highlight w:val="none"/>
        </w:rPr>
        <w:t xml:space="preserve"> und </w:t>
      </w:r>
      <w:r>
        <w:rPr>
          <w:sz w:val="24"/>
          <w:szCs w:val="24"/>
          <w:highlight w:val="none"/>
          <w:lang w:val="en-GB"/>
        </w:rPr>
        <w:t xml:space="preserve">Design </w:t>
      </w:r>
      <w:r>
        <w:rPr>
          <w:sz w:val="24"/>
          <w:szCs w:val="24"/>
          <w:highlight w:val="none"/>
        </w:rPr>
        <w:t xml:space="preserve">genauer erläutert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pStyle w:val="679"/>
        <w:contextualSpacing w:val="0"/>
        <w:jc w:val="left"/>
        <w:spacing w:before="200" w:after="200"/>
        <w:rPr>
          <w:highlight w:val="none"/>
        </w:rPr>
        <w:suppressLineNumbers w:val="0"/>
      </w:pPr>
      <w:r>
        <w:rPr>
          <w:szCs w:val="24"/>
          <w:highlight w:val="none"/>
          <w:lang w:val="en-GB"/>
        </w:rPr>
        <w:t xml:space="preserve">Experience</w:t>
      </w:r>
      <w:r>
        <w:rPr>
          <w:szCs w:val="24"/>
          <w:highlight w:val="none"/>
        </w:rPr>
        <w:t xml:space="preserve"> - Erfahrung</w:t>
      </w:r>
      <w:r>
        <w:rPr>
          <w:szCs w:val="24"/>
          <w:highlight w:val="none"/>
        </w:rPr>
      </w:r>
      <w:r/>
    </w:p>
    <w:p>
      <w:pPr>
        <w:contextualSpacing w:val="0"/>
        <w:jc w:val="left"/>
        <w:spacing w:before="200" w:after="200"/>
        <w:suppressLineNumbers w:val="0"/>
      </w:pPr>
      <w:r>
        <w:t xml:space="preserve">Der Begriff </w:t>
      </w:r>
      <w:r>
        <w:rPr>
          <w:lang w:val="en-GB"/>
        </w:rPr>
        <w:t xml:space="preserve">Experience</w:t>
      </w:r>
      <w:r>
        <w:t xml:space="preserve"> (Erfahrung) ist auf das Verständnis im </w:t>
      </w:r>
      <w:r>
        <w:rPr>
          <w:lang w:val="en-GB"/>
        </w:rPr>
        <w:t xml:space="preserve">User Experience-Design</w:t>
      </w:r>
      <w:r>
        <w:t xml:space="preserve"> zurückzuführen. Im Vordergrund steht die:der </w:t>
      </w:r>
      <w:r>
        <w:t xml:space="preserve">Lernende, was sie:er dabei erlebt und welche Erfahrungen sie:er dabei </w:t>
      </w:r>
      <w:r>
        <w:t xml:space="preserve">sammelt. Hier spielt die Design-Perspektive eine zentrale Rolle. Es geht </w:t>
      </w:r>
      <w:r>
        <w:t xml:space="preserve">darum, wie es den Lernenden beim Lernen geht. Hier gilt es nicht, die </w:t>
      </w:r>
      <w:r>
        <w:t xml:space="preserve">unmittelbare Interaktion mit einer Lernanwendung zu gestalten (z. B. </w:t>
      </w:r>
      <w:r>
        <w:t xml:space="preserve">welche Farbe hat der Button), sondern vielmehr darum, die gesamte </w:t>
      </w:r>
      <w:r>
        <w:t xml:space="preserve">Lernsituation der Lernenden zu erfassen und zu gestalten.</w:t>
      </w:r>
      <w:r/>
    </w:p>
    <w:p>
      <w:pPr>
        <w:pStyle w:val="679"/>
        <w:contextualSpacing w:val="0"/>
        <w:jc w:val="left"/>
        <w:spacing w:before="200" w:after="200"/>
        <w:rPr>
          <w:highlight w:val="none"/>
        </w:rPr>
        <w:suppressLineNumbers w:val="0"/>
      </w:pPr>
      <w:r>
        <w:t xml:space="preserve">Design - Gestaltung</w:t>
      </w:r>
      <w:r/>
    </w:p>
    <w:p>
      <w:pPr>
        <w:contextualSpacing w:val="0"/>
        <w:jc w:val="left"/>
        <w:spacing w:before="200" w:after="200"/>
        <w:suppressLineNumbers w:val="0"/>
      </w:pPr>
      <w:r>
        <w:t xml:space="preserve">Um eine Lernerfahrung zu gestalten, werden Prinzipien und Verfahren aus </w:t>
      </w:r>
      <w:r>
        <w:t xml:space="preserve">den Design-Disziplinen herangezogen. Es handelt sich um einen kreativen </w:t>
      </w:r>
      <w:r>
        <w:t xml:space="preserve">Prozess, bei dem stets versucht wird, gestalterisch-innovativ zu arbeiten. </w:t>
      </w:r>
      <w:r>
        <w:t xml:space="preserve">Dadurch sollen die bestmöglichen Ideen, Entwürfe und Lösungen </w:t>
      </w:r>
      <w:r>
        <w:t xml:space="preserve">generiert werden</w:t>
      </w:r>
      <w:r>
        <w:t xml:space="preserve">.</w:t>
      </w:r>
      <w:r/>
    </w:p>
    <w:p>
      <w:pPr>
        <w:pStyle w:val="679"/>
        <w:contextualSpacing w:val="0"/>
        <w:jc w:val="left"/>
        <w:spacing w:before="200" w:after="200"/>
        <w:suppressLineNumbers w:val="0"/>
      </w:pPr>
      <w:r>
        <w:rPr>
          <w:highlight w:val="none"/>
        </w:rPr>
        <w:t xml:space="preserve">Learning - Lernen</w:t>
      </w:r>
      <w:r>
        <w:rPr>
          <w:highlight w:val="none"/>
        </w:rPr>
      </w:r>
      <w:r/>
    </w:p>
    <w:p>
      <w:pPr>
        <w:contextualSpacing w:val="0"/>
        <w:jc w:val="left"/>
        <w:spacing w:before="200" w:after="200"/>
        <w:rPr>
          <w:highlight w:val="none"/>
        </w:rPr>
        <w:suppressLineNumbers w:val="0"/>
      </w:pPr>
      <w:r>
        <w:t xml:space="preserve">Hier wird die Erfahrung, die gestaltet wird, dem Lernen </w:t>
      </w:r>
      <w:r>
        <w:t xml:space="preserve">zugeschrieben. Es steht nicht das Training, Unterrichten oder </w:t>
      </w:r>
      <w:r>
        <w:t xml:space="preserve">Anweisen im Mittelpunkt. Vielmehr werden die Lernenden, deren </w:t>
      </w:r>
      <w:r>
        <w:t xml:space="preserve">Umgebung sowie Lernerfahrung in das Zentrum gerückt. In einigen </w:t>
      </w:r>
      <w:r>
        <w:t xml:space="preserve">Beiträgen kommt auch der Begriff erfahrungsorientiertes Lernen </w:t>
      </w:r>
      <w:r>
        <w:t xml:space="preserve">(</w:t>
      </w:r>
      <w:r>
        <w:rPr>
          <w:lang w:val="en-GB"/>
        </w:rPr>
        <w:t xml:space="preserve">experiential learning</w:t>
      </w:r>
      <w:r>
        <w:t xml:space="preserve">) zum Tragen</w:t>
      </w:r>
      <w:r>
        <w:t xml:space="preserve"> (LXD.org, 2021b).</w:t>
      </w:r>
      <w:r/>
    </w:p>
    <w:p>
      <w:pPr>
        <w:pStyle w:val="679"/>
        <w:contextualSpacing w:val="0"/>
        <w:jc w:val="left"/>
        <w:spacing w:before="200" w:after="200"/>
        <w:suppressLineNumbers w:val="0"/>
      </w:pPr>
      <w:r>
        <w:rPr>
          <w:highlight w:val="none"/>
        </w:rPr>
        <w:t xml:space="preserve">L X D aus Design-Perspektive</w:t>
      </w:r>
      <w:r>
        <w:rPr>
          <w:highlight w:val="none"/>
        </w:rPr>
      </w:r>
      <w:r/>
    </w:p>
    <w:p>
      <w:pPr>
        <w:contextualSpacing w:val="0"/>
        <w:jc w:val="left"/>
        <w:spacing w:before="200" w:after="200"/>
        <w:suppressLineNumbers w:val="0"/>
      </w:pPr>
      <w:r>
        <w:t xml:space="preserve">Designer:innen haben den Bereich des L X D als Design-Disziplin für sich entdeckt. </w:t>
      </w:r>
      <w:r>
        <w:t xml:space="preserve">Sie bringen in diesem Feld ihr Design-Wissen sowie ihre -Methoden zum Einsatz. </w:t>
      </w:r>
      <w:r>
        <w:t xml:space="preserve">Der Fokus der Designer:innen liegt hierbei auf dem Menschen, also der:dem </w:t>
      </w:r>
      <w:r>
        <w:t xml:space="preserve">Lernenden. Diese:r wird in den Mittelpunkt der Arbeit gerückt. Bei L X D als </w:t>
      </w:r>
      <w:r>
        <w:t xml:space="preserve">Design-Disziplin stehen außerdem mehr die funktionalen als die ästhetischen </w:t>
      </w:r>
      <w:r>
        <w:t xml:space="preserve">Aspekte im Vordergrund (wie z. B. im Industrial Design</w:t>
      </w:r>
      <w:r>
        <w:t xml:space="preserve">) (LXD.org, 2021a).</w:t>
      </w:r>
      <w:r/>
    </w:p>
    <w:p>
      <w:pPr>
        <w:pStyle w:val="679"/>
        <w:contextualSpacing w:val="0"/>
        <w:jc w:val="left"/>
        <w:spacing w:before="200" w:after="200"/>
        <w:suppressLineNumbers w:val="0"/>
      </w:pPr>
      <w:r>
        <w:t xml:space="preserve">L X D aus der Perspektive von Lehrenden</w:t>
      </w:r>
      <w:r/>
    </w:p>
    <w:p>
      <w:pPr>
        <w:contextualSpacing w:val="0"/>
        <w:jc w:val="left"/>
        <w:spacing w:before="200" w:after="200"/>
        <w:rPr>
          <w:highlight w:val="none"/>
        </w:rPr>
        <w:suppressLineNumbers w:val="0"/>
      </w:pPr>
      <w:r>
        <w:t xml:space="preserve">Lehrende orientieren sich immer am Menschen, also an der:dem Lernenden. </w:t>
      </w:r>
      <w:r>
        <w:t xml:space="preserve">Für sie steht die Gestaltung von Lernen und Lehren im Fokus. Daher kann die </w:t>
      </w:r>
      <w:r>
        <w:t xml:space="preserve">Sichtweise der Designer:innen für Lehrende anfangs seltsam wirken. Für Lehrende </w:t>
      </w:r>
      <w:r>
        <w:t xml:space="preserve">und Entwickler:innen von technologiegestützten Lernanwendungen ist jedoch </w:t>
      </w:r>
      <w:r>
        <w:t xml:space="preserve">der Einsatz von Design-Verfahren und -Methoden spannend und zugleich hilfreich.</w:t>
      </w:r>
      <w:r/>
    </w:p>
    <w:p>
      <w:pPr>
        <w:contextualSpacing w:val="0"/>
        <w:jc w:val="left"/>
        <w:spacing w:before="200" w:after="200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  <w:t xml:space="preserve">Grundlagen und korrespondierende Disziplinen von L X D (für mehr Informationen siehe auch: weiterführender Literaturtipp).</w:t>
      </w:r>
      <w:r>
        <w:rPr>
          <w:highlight w:val="none"/>
        </w:rPr>
      </w:r>
      <w:r/>
    </w:p>
    <w:tbl>
      <w:tblPr>
        <w:tblStyle w:val="715"/>
        <w:tblW w:w="0" w:type="auto"/>
        <w:tblLook w:val="0420" w:firstRow="1" w:lastRow="0" w:firstColumn="0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Learning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Experience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Design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Grundlagen des Lernen und Lehrens, Grundlagen methodisch-didaktischer Gestaltung (</w:t>
            </w:r>
            <w:r>
              <w:rPr>
                <w:highlight w:val="none"/>
                <w:lang w:val="en-GB"/>
              </w:rPr>
              <w:t xml:space="preserve">Instructional Design</w:t>
            </w:r>
            <w:r>
              <w:rPr>
                <w:highlight w:val="none"/>
              </w:rPr>
              <w:t xml:space="preserve">) (Korrespondierendes Wissen, Methoden und Kooperationen)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Grundlagen des Lernen und Lehrens, Grundlagen methodisch-didaktischer Gestaltung (</w:t>
            </w:r>
            <w:r>
              <w:rPr>
                <w:highlight w:val="none"/>
                <w:lang w:val="en-GB"/>
              </w:rPr>
              <w:t xml:space="preserve">Instructional Design</w:t>
            </w:r>
            <w:r>
              <w:rPr>
                <w:highlight w:val="none"/>
              </w:rPr>
              <w:t xml:space="preserve">) (Korrespondierendes Wissen, Methoden und Kooperationen)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  <w:lang w:val="en-GB"/>
              </w:rPr>
              <w:t xml:space="preserve">Designgrundlagen </w:t>
            </w:r>
            <w:r>
              <w:rPr>
                <w:highlight w:val="none"/>
              </w:rPr>
              <w:t xml:space="preserve">und </w:t>
            </w:r>
            <w:r>
              <w:rPr>
                <w:highlight w:val="none"/>
                <w:lang w:val="en-GB"/>
              </w:rPr>
              <w:t xml:space="preserve">Contentdesign </w:t>
            </w:r>
            <w:r>
              <w:rPr>
                <w:highlight w:val="none"/>
              </w:rPr>
              <w:t xml:space="preserve">(Perspektive, Wissen und Methoden)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Fachdisziplin (Inhalt) (Korrespondierendes Wissen, Methoden und Kooperationen)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  <w:lang w:val="en-GB"/>
              </w:rPr>
              <w:t xml:space="preserve">Human Centred Design, User Experience Design </w:t>
            </w:r>
            <w:r>
              <w:rPr>
                <w:highlight w:val="none"/>
              </w:rPr>
              <w:t xml:space="preserve">und </w:t>
            </w:r>
            <w:r>
              <w:rPr>
                <w:highlight w:val="none"/>
                <w:lang w:val="en-GB"/>
              </w:rPr>
              <w:t xml:space="preserve">Interaction Design </w:t>
            </w:r>
            <w:r>
              <w:rPr>
                <w:highlight w:val="none"/>
              </w:rPr>
              <w:t xml:space="preserve">(Perspektive, Wissen und Methoden)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  <w:lang w:val="en-GB"/>
              </w:rPr>
              <w:t xml:space="preserve">Human Centred Design, User Experience Design </w:t>
            </w:r>
            <w:r>
              <w:rPr>
                <w:highlight w:val="none"/>
              </w:rPr>
              <w:t xml:space="preserve">und </w:t>
            </w:r>
            <w:r>
              <w:rPr>
                <w:highlight w:val="none"/>
                <w:lang w:val="en-GB"/>
              </w:rPr>
              <w:t xml:space="preserve">Interaction Design</w:t>
            </w:r>
            <w:r>
              <w:rPr>
                <w:highlight w:val="none"/>
              </w:rPr>
              <w:t xml:space="preserve"> (Perspektive, Wissen und Methoden)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Pädagogik/Andragogik (Korrespondierendes Wissen, Methoden und Kooperationen)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IT-/Software-Entwicklung, </w:t>
            </w:r>
            <w:r>
              <w:rPr>
                <w:highlight w:val="none"/>
                <w:lang w:val="en-GB"/>
              </w:rPr>
              <w:t xml:space="preserve">Human Computer Interaction</w:t>
            </w:r>
            <w:r>
              <w:rPr>
                <w:highlight w:val="none"/>
              </w:rPr>
              <w:t xml:space="preserve"> und Game-Entwicklung (Korrespondierendes Wissen, Methoden und Kooperationen)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IT-/Software-Entwicklung, Human Computer </w:t>
            </w:r>
            <w:r>
              <w:rPr>
                <w:highlight w:val="none"/>
                <w:lang w:val="en-GB"/>
              </w:rPr>
              <w:t xml:space="preserve">Interaction </w:t>
            </w:r>
            <w:r>
              <w:rPr>
                <w:highlight w:val="none"/>
              </w:rPr>
              <w:t xml:space="preserve">und Game-Entwicklung (Korrespondierendes Wissen, Methoden und Kooperationen)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Kognitive Psychologie, Philosophie (Grundlagen)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Kognitive Psychologie, Philosophie (Grundlagen)</w:t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20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Kognitive Psychologie, Philosophie (Grundlagen)</w:t>
            </w:r>
            <w:r>
              <w:rPr>
                <w:highlight w:val="none"/>
              </w:rPr>
            </w:r>
            <w:r/>
          </w:p>
        </w:tc>
      </w:tr>
    </w:tbl>
    <w:p>
      <w:pPr>
        <w:pStyle w:val="679"/>
        <w:contextualSpacing w:val="0"/>
        <w:jc w:val="left"/>
        <w:spacing w:before="200" w:after="200"/>
        <w:suppressLineNumbers w:val="0"/>
      </w:pPr>
      <w:r>
        <w:rPr>
          <w:highlight w:val="none"/>
        </w:rPr>
        <w:t xml:space="preserve">Herausforderungen von L X D</w:t>
      </w:r>
      <w:r/>
    </w:p>
    <w:p>
      <w:pPr>
        <w:contextualSpacing w:val="0"/>
        <w:jc w:val="left"/>
        <w:spacing w:before="200" w:after="200"/>
        <w:suppressLineNumbers w:val="0"/>
      </w:pPr>
      <w:r>
        <w:t xml:space="preserve">L X D ist eine relativ neue Design-Disziplin. Da die Begrifflichkeit noch nicht klar abgegrenzt </w:t>
      </w:r>
      <w:r>
        <w:t xml:space="preserve">ist, ist noch nicht definiert, welche Grundlagen L X D tatsächlich benötigt. Da der gesamte </w:t>
      </w:r>
      <w:r>
        <w:t xml:space="preserve">Gestaltungsprozess einer technologiegestützten Lernerfahrung spezifische Vertiefungen </w:t>
      </w:r>
      <w:r>
        <w:t xml:space="preserve">benötigt und dementsprechende Ergebnisse aufweist, können L X D-Designer:innen nicht </w:t>
      </w:r>
      <w:r>
        <w:t xml:space="preserve">den gesamten Prozess übernehmen. Daher ist es erforderlich, mit anderen Disziplinen eng </w:t>
      </w:r>
      <w:r>
        <w:t xml:space="preserve">zusammenzuarbeiten.</w:t>
      </w:r>
      <w:r/>
    </w:p>
    <w:p>
      <w:pPr>
        <w:pStyle w:val="679"/>
        <w:contextualSpacing w:val="0"/>
        <w:jc w:val="left"/>
        <w:spacing w:before="200" w:after="200"/>
        <w:suppressLineNumbers w:val="0"/>
      </w:pPr>
      <w:r>
        <w:t xml:space="preserve">Unterschiedliches Begriffsverständnis</w:t>
      </w:r>
      <w:r/>
    </w:p>
    <w:p>
      <w:pPr>
        <w:contextualSpacing w:val="0"/>
        <w:jc w:val="left"/>
        <w:spacing w:before="200" w:after="200"/>
        <w:suppressLineNumbers w:val="0"/>
      </w:pPr>
      <w:r>
        <w:t xml:space="preserve">L X D wird im Detail recht divers betrachtet. Das Team von L L T, wie auch viele andere, </w:t>
      </w:r>
      <w:r>
        <w:t xml:space="preserve">sieht L X D als neue Design-Disziplin. Das Wort Design wird im englischsprachigen Raum </w:t>
      </w:r>
      <w:r>
        <w:t xml:space="preserve">sehr universal eingesetzt, was zu Missverständnissen führen kann. Didaktisches Design </w:t>
      </w:r>
      <w:r>
        <w:t xml:space="preserve">oder Instructional Design hat auch wenig mit den traditionellen Design-Disziplinen wie </w:t>
      </w:r>
      <w:r>
        <w:t xml:space="preserve">Grafikdesign, Architektur oder Industrial Design gleich. Daher unterscheiden sich auch die </w:t>
      </w:r>
      <w:r>
        <w:t xml:space="preserve">Werkzeuge, Arbeitsweisen, Erwartungshaltungen, Methoden und Vorgehensweisen der </w:t>
      </w:r>
      <w:r>
        <w:t xml:space="preserve">beiden Gruppen, obwohl L X D eine Zusammenarbeit der beiden erfordert.</w:t>
      </w:r>
      <w:r/>
    </w:p>
    <w:p>
      <w:pPr>
        <w:pStyle w:val="679"/>
        <w:contextualSpacing w:val="0"/>
        <w:jc w:val="left"/>
        <w:spacing w:before="200" w:after="200"/>
        <w:suppressLineNumbers w:val="0"/>
      </w:pPr>
      <w:r>
        <w:t xml:space="preserve">Fazit - L X D an der T U Graz</w:t>
      </w:r>
      <w:r/>
    </w:p>
    <w:p>
      <w:pPr>
        <w:contextualSpacing w:val="0"/>
        <w:jc w:val="left"/>
        <w:spacing w:before="200" w:after="200"/>
        <w:rPr>
          <w:highlight w:val="none"/>
        </w:rPr>
        <w:suppressLineNumbers w:val="0"/>
      </w:pPr>
      <w:r>
        <w:t xml:space="preserve">Ziel von L X D ist es, Lernumgebungen so zu gestalten, dass sie möglichst intuitiv, </w:t>
      </w:r>
      <w:r>
        <w:t xml:space="preserve">ansprechend und einfach zu bedienen sind. Die pädagogisch-didaktische Aufbereitung </w:t>
      </w:r>
      <w:r>
        <w:t xml:space="preserve">sowie die technische Umsetzung einer digitalen Lernerfahrung sind nicht minder wichtig </w:t>
      </w:r>
      <w:r>
        <w:t xml:space="preserve">als die L X D-typischen gestalterischen Prozesse und die finale Gestaltung. </w:t>
      </w:r>
      <w:r>
        <w:rPr>
          <w:lang w:val="en-GB"/>
        </w:rPr>
        <w:t xml:space="preserve">State-of-the art</w:t>
      </w:r>
      <w:r>
        <w:t xml:space="preserve"> Lehr- und Lernumgebungen benötigen nicht nur interdisziplinäre Teams, sondern </w:t>
      </w:r>
      <w:r>
        <w:t xml:space="preserve">auch L X D-fachkundiges Personal. L X D ist ein weiterer Schritt und auch Baustein, um </w:t>
      </w:r>
      <w:r>
        <w:t xml:space="preserve">technologiegestütztes Lernen und Lehren so zu gestalten und umzusetzen, dass die Lehr und Lernerfahrungen gefördert werden. L L T erweitert das Wissen des Design-Teams rund </w:t>
      </w:r>
      <w:r>
        <w:t xml:space="preserve">um das Know-How von L X D, um die Lehr- und Lernerfahrungen an der T U Graz weiterhin </w:t>
      </w:r>
      <w:r>
        <w:t xml:space="preserve">zu verbessern.</w:t>
      </w:r>
      <w:r/>
    </w:p>
    <w:p>
      <w:pPr>
        <w:contextualSpacing w:val="0"/>
        <w:jc w:val="left"/>
        <w:spacing w:before="200" w:after="200"/>
        <w:suppressLineNumbers w:val="0"/>
      </w:pPr>
      <w:r>
        <w:rPr>
          <w:highlight w:val="none"/>
        </w:rPr>
        <w:t xml:space="preserve">Eine Anwendung von L X D findet man auf der Plattform </w:t>
      </w:r>
      <w:hyperlink r:id="rId13" w:tooltip="die MOOC-Plattform iMooX.at" w:history="1">
        <w:r>
          <w:rPr>
            <w:rStyle w:val="839"/>
            <w:highlight w:val="none"/>
          </w:rPr>
          <w:t xml:space="preserve">iMooX.at</w:t>
        </w:r>
      </w:hyperlink>
      <w:r>
        <w:rPr>
          <w:highlight w:val="none"/>
        </w:rPr>
      </w:r>
      <w:r/>
    </w:p>
    <w:p>
      <w:pPr>
        <w:pStyle w:val="679"/>
        <w:contextualSpacing w:val="0"/>
        <w:jc w:val="left"/>
        <w:spacing w:before="200" w:after="200"/>
        <w:rPr>
          <w:highlight w:val="none"/>
        </w:rPr>
        <w:suppressLineNumbers w:val="0"/>
      </w:pPr>
      <w:r>
        <w:rPr>
          <w:szCs w:val="24"/>
          <w:highlight w:val="none"/>
        </w:rPr>
        <w:t xml:space="preserve">Bibliographie</w:t>
      </w:r>
      <w:r>
        <w:rPr>
          <w:szCs w:val="24"/>
          <w:highlight w:val="none"/>
        </w:rPr>
      </w:r>
      <w:r/>
    </w:p>
    <w:p>
      <w:pPr>
        <w:contextualSpacing w:val="0"/>
        <w:jc w:val="left"/>
        <w:spacing w:before="200" w:after="200"/>
        <w:tabs>
          <w:tab w:val="center" w:pos="4677" w:leader="none"/>
        </w:tabs>
        <w:rPr>
          <w:sz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Ahn, J. (2019): </w:t>
      </w:r>
      <w:hyperlink r:id="rId14" w:tooltip="Online-Version der Publikation" w:history="1">
        <w:r>
          <w:rPr>
            <w:rStyle w:val="839"/>
            <w:sz w:val="24"/>
            <w:szCs w:val="24"/>
            <w:highlight w:val="none"/>
          </w:rPr>
          <w:t xml:space="preserve">Drawing Inspiration for </w:t>
        </w:r>
        <w:r>
          <w:rPr>
            <w:rStyle w:val="839"/>
            <w:sz w:val="24"/>
            <w:szCs w:val="24"/>
            <w:highlight w:val="none"/>
            <w:lang w:val="en-GB"/>
          </w:rPr>
          <w:t xml:space="preserve">Learning Experience Design</w:t>
        </w:r>
        <w:r>
          <w:rPr>
            <w:rStyle w:val="839"/>
            <w:sz w:val="24"/>
            <w:szCs w:val="24"/>
            <w:highlight w:val="none"/>
          </w:rPr>
          <w:t xml:space="preserve"> (LX) from Diverse Perspectives.</w:t>
        </w:r>
      </w:hyperlink>
      <w:r>
        <w:rPr>
          <w:sz w:val="24"/>
          <w:szCs w:val="24"/>
          <w:highlight w:val="none"/>
        </w:rPr>
        <w:t xml:space="preserve"> In: The Emerging Learning Design </w:t>
      </w:r>
      <w:r>
        <w:rPr>
          <w:sz w:val="24"/>
          <w:szCs w:val="24"/>
          <w:highlight w:val="none"/>
        </w:rPr>
        <w:t xml:space="preserve">Journal, 2019, Vol. 6, Iss. 1, Article 1; online abgerufen am 9.8.2021</w:t>
      </w:r>
      <w:r/>
    </w:p>
    <w:p>
      <w:pPr>
        <w:contextualSpacing w:val="0"/>
        <w:jc w:val="left"/>
        <w:spacing w:before="200" w:after="200"/>
        <w:tabs>
          <w:tab w:val="center" w:pos="4677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Schmidt, M./Tawfik, A. A./Jahnke, I./Earnshaw, Y. (2020): </w:t>
      </w:r>
      <w:hyperlink r:id="rId15" w:tooltip="Online-Version der Publikation" w:history="1">
        <w:r>
          <w:rPr>
            <w:rStyle w:val="839"/>
            <w:sz w:val="24"/>
            <w:szCs w:val="24"/>
            <w:highlight w:val="none"/>
            <w:lang w:val="en-GB"/>
          </w:rPr>
          <w:t xml:space="preserve">Learner and User Experience Research. An Introduction for the Field of Learning </w:t>
        </w:r>
        <w:r>
          <w:rPr>
            <w:rStyle w:val="839"/>
            <w:sz w:val="24"/>
            <w:szCs w:val="24"/>
            <w:highlight w:val="none"/>
            <w:lang w:val="en-GB"/>
          </w:rPr>
          <w:t xml:space="preserve">Design &amp; Technology. </w:t>
        </w:r>
      </w:hyperlink>
      <w:r>
        <w:rPr>
          <w:sz w:val="24"/>
          <w:szCs w:val="24"/>
          <w:highlight w:val="none"/>
          <w:lang w:val="en-GB"/>
        </w:rPr>
        <w:t xml:space="preserve">EdTech Books</w:t>
      </w:r>
      <w:r>
        <w:rPr>
          <w:sz w:val="24"/>
          <w:szCs w:val="24"/>
          <w:highlight w:val="none"/>
        </w:rPr>
        <w:t xml:space="preserve">; online abgerufen am 9.8.2021</w:t>
      </w:r>
      <w:r/>
    </w:p>
    <w:p>
      <w:pPr>
        <w:contextualSpacing w:val="0"/>
        <w:jc w:val="left"/>
        <w:spacing w:before="200" w:after="200"/>
        <w:tabs>
          <w:tab w:val="center" w:pos="4677" w:leader="none"/>
        </w:tabs>
        <w:rPr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LXD.org (2021a): </w:t>
      </w:r>
      <w:hyperlink r:id="rId16" w:tooltip="Website von LXD.org" w:history="1">
        <w:r>
          <w:rPr>
            <w:rStyle w:val="839"/>
            <w:sz w:val="24"/>
            <w:szCs w:val="24"/>
            <w:highlight w:val="none"/>
            <w:lang w:val="en-GB"/>
          </w:rPr>
          <w:t xml:space="preserve">The origin of learning experience design</w:t>
        </w:r>
      </w:hyperlink>
      <w:r>
        <w:rPr>
          <w:sz w:val="24"/>
          <w:szCs w:val="24"/>
          <w:highlight w:val="none"/>
        </w:rPr>
        <w:t xml:space="preserve">, online abgerufen am 9.8.2021 </w:t>
      </w:r>
      <w:r>
        <w:rPr>
          <w:sz w:val="24"/>
          <w:szCs w:val="24"/>
          <w:highlight w:val="none"/>
        </w:rPr>
      </w:r>
      <w:r/>
    </w:p>
    <w:p>
      <w:pPr>
        <w:contextualSpacing w:val="0"/>
        <w:jc w:val="left"/>
        <w:spacing w:before="200" w:after="200"/>
        <w:tabs>
          <w:tab w:val="center" w:pos="4677" w:leader="none"/>
        </w:tabs>
        <w:suppressLineNumbers w:val="0"/>
      </w:pPr>
      <w:r>
        <w:rPr>
          <w:sz w:val="24"/>
          <w:szCs w:val="24"/>
          <w:highlight w:val="none"/>
        </w:rPr>
        <w:t xml:space="preserve">LXD.org (2021b): </w:t>
      </w:r>
      <w:hyperlink r:id="rId17" w:tooltip="Website von LXD.org" w:history="1">
        <w:r>
          <w:rPr>
            <w:rStyle w:val="839"/>
            <w:sz w:val="24"/>
            <w:szCs w:val="24"/>
            <w:highlight w:val="none"/>
            <w:lang w:val="en-GB"/>
          </w:rPr>
          <w:t xml:space="preserve">What is learning experience design?</w:t>
        </w:r>
        <w:r>
          <w:rPr>
            <w:rStyle w:val="839"/>
            <w:sz w:val="24"/>
            <w:szCs w:val="24"/>
            <w:highlight w:val="none"/>
          </w:rPr>
          <w:t xml:space="preserve">, online abgerufen am 9.8.2021</w:t>
        </w:r>
      </w:hyperlink>
      <w:r/>
      <w:r/>
    </w:p>
    <w:p>
      <w:pPr>
        <w:contextualSpacing w:val="0"/>
        <w:jc w:val="left"/>
        <w:spacing w:before="200" w:after="200"/>
        <w:tabs>
          <w:tab w:val="center" w:pos="4677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Ebner, Martin, Schön, Sandra, Kircher, Jacqueline &amp; Burger, Eva-Maria (2021). </w:t>
      </w:r>
      <w:r>
        <w:rPr>
          <w:sz w:val="24"/>
          <w:szCs w:val="24"/>
          <w:highlight w:val="none"/>
          <w:lang w:val="en-GB"/>
        </w:rPr>
        <w:t xml:space="preserve">Learning Experience Design</w:t>
      </w:r>
      <w:r>
        <w:rPr>
          <w:sz w:val="24"/>
          <w:szCs w:val="24"/>
          <w:highlight w:val="none"/>
        </w:rPr>
        <w:t xml:space="preserve">: Zur Gestaltung von technologiegestützten Lernerfahrungen mit Methoden der Design-Entwicklung. Handbuch E-Learning. Erg. Lfg. In Print</w:t>
      </w:r>
      <w:r>
        <w:rPr>
          <w:sz w:val="24"/>
          <w:szCs w:val="24"/>
          <w:highlight w:val="none"/>
        </w:rPr>
      </w:r>
      <w:r/>
    </w:p>
    <w:p>
      <w:pPr>
        <w:pStyle w:val="679"/>
      </w:pPr>
      <w:r>
        <w:t xml:space="preserve">Sticker zum Beitrag</w:t>
      </w:r>
      <w:r/>
    </w:p>
    <w:p>
      <w:pPr>
        <w:rPr>
          <w:color w:val="000000"/>
          <w:sz w:val="24"/>
          <w:szCs w:val="24"/>
        </w:rPr>
      </w:pPr>
      <w:r/>
      <w:bookmarkStart w:id="0" w:name="_GoBack"/>
      <w:r>
        <w:rPr>
          <w:color w:val="000000"/>
          <w:sz w:val="24"/>
          <w:szCs w:val="24"/>
        </w:rPr>
      </w:r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62325" cy="2505075"/>
                <wp:effectExtent l="0" t="0" r="0" b="0"/>
                <wp:docPr id="1" name="" hidden="0" title="Sticker zum Beitrag: ein Icon von drei Büche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 title="Sticker zum Beitrag: ein Icon von drei Büchern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3362324" cy="2505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4.8pt;height:197.2pt;rotation:0;" stroked="false">
                <v:path textboxrect="0,0,0,0"/>
                <v:imagedata r:id="rId18" o:title="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66"/>
    <w:lvl w:ilvl="0">
      <w:start w:val="1"/>
      <w:numFmt w:val="decimal"/>
      <w:pStyle w:val="866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860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styleLink w:val="864"/>
    <w:lvl w:ilvl="0">
      <w:start w:val="1"/>
      <w:numFmt w:val="bullet"/>
      <w:pStyle w:val="864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">
    <w:multiLevelType w:val="hybridMultilevel"/>
    <w:styleLink w:val="865"/>
    <w:lvl w:ilvl="0">
      <w:start w:val="1"/>
      <w:numFmt w:val="decimal"/>
      <w:pStyle w:val="865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cs="Arial" w:eastAsia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cs="Arial" w:eastAsia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cs="Arial" w:eastAsia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cs="Arial" w:eastAsia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cs="Arial" w:eastAsia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cs="Arial" w:eastAsia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cs="Arial" w:eastAsia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cs="Arial" w:eastAsia="Arial"/>
      <w:i/>
      <w:iCs/>
      <w:sz w:val="21"/>
      <w:szCs w:val="21"/>
    </w:rPr>
  </w:style>
  <w:style w:type="character" w:styleId="669">
    <w:name w:val="Title Char"/>
    <w:basedOn w:val="687"/>
    <w:link w:val="699"/>
    <w:uiPriority w:val="10"/>
    <w:rPr>
      <w:sz w:val="48"/>
      <w:szCs w:val="48"/>
    </w:rPr>
  </w:style>
  <w:style w:type="character" w:styleId="670">
    <w:name w:val="Subtitle Char"/>
    <w:basedOn w:val="687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Header Char"/>
    <w:basedOn w:val="687"/>
    <w:link w:val="707"/>
    <w:uiPriority w:val="99"/>
  </w:style>
  <w:style w:type="character" w:styleId="674">
    <w:name w:val="Caption Char"/>
    <w:basedOn w:val="711"/>
    <w:link w:val="709"/>
    <w:uiPriority w:val="99"/>
  </w:style>
  <w:style w:type="character" w:styleId="675">
    <w:name w:val="Footnote Text Char"/>
    <w:link w:val="840"/>
    <w:uiPriority w:val="99"/>
    <w:rPr>
      <w:sz w:val="18"/>
    </w:rPr>
  </w:style>
  <w:style w:type="character" w:styleId="676">
    <w:name w:val="Endnote Text Char"/>
    <w:link w:val="843"/>
    <w:uiPriority w:val="99"/>
    <w:rPr>
      <w:sz w:val="20"/>
    </w:rPr>
  </w:style>
  <w:style w:type="paragraph" w:styleId="677" w:default="1">
    <w:name w:val="Normal"/>
    <w:qFormat/>
    <w:pPr>
      <w:spacing w:before="200"/>
    </w:pPr>
    <w:rPr>
      <w:sz w:val="24"/>
    </w:r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b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b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b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b/>
      <w:bCs/>
      <w:sz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b/>
      <w:bCs/>
      <w:i/>
      <w:iCs/>
      <w:sz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i/>
      <w:iCs/>
      <w:sz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687" w:default="1">
    <w:name w:val="Default Paragraph Font"/>
    <w:uiPriority w:val="1"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Überschrift 1 Zchn"/>
    <w:link w:val="678"/>
    <w:uiPriority w:val="9"/>
    <w:rPr>
      <w:b/>
      <w:sz w:val="40"/>
      <w:szCs w:val="40"/>
    </w:rPr>
  </w:style>
  <w:style w:type="character" w:styleId="691" w:customStyle="1">
    <w:name w:val="Überschrift 2 Zchn"/>
    <w:link w:val="679"/>
    <w:uiPriority w:val="9"/>
    <w:rPr>
      <w:b/>
      <w:sz w:val="34"/>
    </w:rPr>
  </w:style>
  <w:style w:type="character" w:styleId="692" w:customStyle="1">
    <w:name w:val="Überschrift 3 Zchn"/>
    <w:link w:val="680"/>
    <w:uiPriority w:val="9"/>
    <w:rPr>
      <w:b/>
      <w:sz w:val="30"/>
      <w:szCs w:val="30"/>
    </w:rPr>
  </w:style>
  <w:style w:type="character" w:styleId="693" w:customStyle="1">
    <w:name w:val="Überschrift 4 Zchn"/>
    <w:link w:val="681"/>
    <w:uiPriority w:val="9"/>
    <w:rPr>
      <w:rFonts w:ascii="Arial" w:hAnsi="Arial" w:cs="Arial" w:eastAsia="Arial"/>
      <w:b/>
      <w:bCs/>
      <w:sz w:val="26"/>
      <w:szCs w:val="26"/>
    </w:rPr>
  </w:style>
  <w:style w:type="character" w:styleId="694" w:customStyle="1">
    <w:name w:val="Überschrift 5 Zchn"/>
    <w:link w:val="682"/>
    <w:uiPriority w:val="9"/>
    <w:rPr>
      <w:rFonts w:ascii="Arial" w:hAnsi="Arial" w:cs="Arial" w:eastAsia="Arial"/>
      <w:b/>
      <w:bCs/>
      <w:sz w:val="24"/>
      <w:szCs w:val="24"/>
    </w:rPr>
  </w:style>
  <w:style w:type="character" w:styleId="695" w:customStyle="1">
    <w:name w:val="Überschrift 6 Zchn"/>
    <w:link w:val="683"/>
    <w:uiPriority w:val="9"/>
    <w:rPr>
      <w:rFonts w:ascii="Arial" w:hAnsi="Arial" w:cs="Arial" w:eastAsia="Arial"/>
      <w:b/>
      <w:bCs/>
      <w:sz w:val="22"/>
      <w:szCs w:val="22"/>
    </w:rPr>
  </w:style>
  <w:style w:type="character" w:styleId="696" w:customStyle="1">
    <w:name w:val="Überschrift 7 Zchn"/>
    <w:link w:val="6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7" w:customStyle="1">
    <w:name w:val="Überschrift 8 Zchn"/>
    <w:link w:val="685"/>
    <w:uiPriority w:val="9"/>
    <w:rPr>
      <w:rFonts w:ascii="Arial" w:hAnsi="Arial" w:cs="Arial" w:eastAsia="Arial"/>
      <w:i/>
      <w:iCs/>
      <w:sz w:val="22"/>
      <w:szCs w:val="22"/>
    </w:rPr>
  </w:style>
  <w:style w:type="character" w:styleId="698" w:customStyle="1">
    <w:name w:val="Überschrift 9 Zchn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Titel Zchn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rPr>
      <w:sz w:val="24"/>
      <w:szCs w:val="24"/>
    </w:rPr>
  </w:style>
  <w:style w:type="character" w:styleId="702" w:customStyle="1">
    <w:name w:val="Untertitel Zchn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right="720"/>
      <w:spacing w:before="240" w:after="240"/>
    </w:pPr>
    <w:rPr>
      <w:b/>
      <w:i/>
      <w:sz w:val="28"/>
    </w:rPr>
  </w:style>
  <w:style w:type="character" w:styleId="704" w:customStyle="1">
    <w:name w:val="Zitat Zchn"/>
    <w:link w:val="703"/>
    <w:uiPriority w:val="29"/>
    <w:rPr>
      <w:b/>
      <w:i/>
      <w:sz w:val="28"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Intensives Zitat Zchn"/>
    <w:link w:val="705"/>
    <w:uiPriority w:val="30"/>
    <w:rPr>
      <w:i/>
    </w:rPr>
  </w:style>
  <w:style w:type="paragraph" w:styleId="707">
    <w:name w:val="Header"/>
    <w:basedOn w:val="67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Kopfzeile Zchn"/>
    <w:link w:val="707"/>
    <w:uiPriority w:val="99"/>
  </w:style>
  <w:style w:type="paragraph" w:styleId="709">
    <w:name w:val="Footer"/>
    <w:basedOn w:val="67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Fußzeile Zchn"/>
    <w:link w:val="709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/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/>
    </w:tblPr>
    <w:tblStylePr w:type="band1Horz">
      <w:tcPr>
        <w:shd w:val="clear" w:color="ffffff" w:fill="b3d0eb"/>
      </w:tcPr>
    </w:tblStylePr>
    <w:tblStylePr w:type="band1Vert">
      <w:tcPr>
        <w:shd w:val="clear" w:color="ffffff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/>
    </w:tblPr>
    <w:tblStylePr w:type="band1Horz">
      <w:tcPr>
        <w:shd w:val="clear" w:color="ffffff" w:fill="f6c3a0"/>
      </w:tcPr>
    </w:tblStylePr>
    <w:tblStylePr w:type="band1Vert">
      <w:tcPr>
        <w:shd w:val="clear" w:color="ffffff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/>
    </w:tblPr>
    <w:tblStylePr w:type="band1Horz">
      <w:tcPr>
        <w:shd w:val="clear" w:color="ffffff" w:fill="d5d5d5"/>
      </w:tcPr>
    </w:tblStylePr>
    <w:tblStylePr w:type="band1Vert">
      <w:tcPr>
        <w:shd w:val="clear" w:color="ffffff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/>
    </w:tblPr>
    <w:tblStylePr w:type="band1Horz">
      <w:tcPr>
        <w:shd w:val="clear" w:color="ffffff" w:fill="ffe28a"/>
      </w:tcPr>
    </w:tblStylePr>
    <w:tblStylePr w:type="band1Vert">
      <w:tcPr>
        <w:shd w:val="clear" w:color="ffffff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/>
    </w:tblPr>
    <w:tblStylePr w:type="band1Horz">
      <w:tcPr>
        <w:shd w:val="clear" w:color="ffffff" w:fill="a9bee4"/>
      </w:tcPr>
    </w:tblStylePr>
    <w:tblStylePr w:type="band1Vert">
      <w:tcPr>
        <w:shd w:val="clear" w:color="ffffff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/>
    </w:tblPr>
    <w:tblStylePr w:type="band1Horz">
      <w:tcPr>
        <w:shd w:val="clear" w:color="ffffff" w:fill="bcdba8"/>
      </w:tcPr>
    </w:tblStylePr>
    <w:tblStylePr w:type="band1Vert">
      <w:tcPr>
        <w:shd w:val="clear" w:color="ffffff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/>
      </w:tcPr>
    </w:tblStylePr>
    <w:tblStylePr w:type="band1Vert"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/>
      </w:tcPr>
    </w:tblStylePr>
    <w:tblStylePr w:type="band1Vert"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/>
      </w:tcPr>
    </w:tblStylePr>
    <w:tblStylePr w:type="band1Vert"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/>
      </w:tcPr>
    </w:tblStylePr>
    <w:tblStylePr w:type="band1Vert"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/>
      </w:tcPr>
    </w:tblStylePr>
    <w:tblStylePr w:type="band1Vert"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/>
      </w:tcPr>
    </w:tblStylePr>
    <w:tblStylePr w:type="band1Vert">
      <w:tcPr>
        <w:shd w:val="clear" w:color="ffffff" w:fill="e1efd8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/>
      </w:tcPr>
    </w:tblStylePr>
    <w:tblStylePr w:type="band1Vert">
      <w:tcPr>
        <w:shd w:val="clear" w:color="ffffff" w:fill="ddeaf6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/>
      </w:tcPr>
    </w:tblStylePr>
    <w:tblStylePr w:type="band1Vert">
      <w:tcPr>
        <w:shd w:val="clear" w:color="ffffff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/>
      </w:tcPr>
    </w:tblStylePr>
    <w:tblStylePr w:type="band1Vert"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/>
      </w:tcPr>
    </w:tblStylePr>
    <w:tblStylePr w:type="band1Vert">
      <w:tcPr>
        <w:shd w:val="clear" w:color="ffffff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/>
      </w:tcPr>
    </w:tblStylePr>
    <w:tblStylePr w:type="band1Vert">
      <w:tcPr>
        <w:shd w:val="clear" w:color="ffffff" w:fill="d8e2f3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/>
      </w:tcPr>
    </w:tblStylePr>
    <w:tblStylePr w:type="band1Vert">
      <w:tcPr>
        <w:shd w:val="clear" w:color="ffffff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/>
    </w:tblPr>
    <w:tblStylePr w:type="band1Horz"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/>
    </w:tblPr>
    <w:tblStylePr w:type="band1Horz">
      <w:tcPr>
        <w:shd w:val="clear" w:color="ffffff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/>
    </w:tblPr>
    <w:tblStylePr w:type="band1Horz">
      <w:tcPr>
        <w:shd w:val="clear" w:color="ffffff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/>
    </w:tblPr>
    <w:tblStylePr w:type="band1Horz">
      <w:tcPr>
        <w:shd w:val="clear" w:color="ffffff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/>
    </w:tblPr>
    <w:tblStylePr w:type="band1Horz">
      <w:tcPr>
        <w:shd w:val="clear" w:color="ffffff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/>
    </w:tblPr>
    <w:tblStylePr w:type="band1Horz">
      <w:tcPr>
        <w:shd w:val="clear" w:color="ffffff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/>
    </w:tblPr>
    <w:tblStylePr w:type="band1Horz">
      <w:tcPr>
        <w:shd w:val="clear" w:color="ffffff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/>
      </w:tcPr>
    </w:tblStylePr>
    <w:tblStylePr w:type="band1Vert">
      <w:tcPr>
        <w:shd w:val="clear" w:color="ffffff" w:fill="d5e5f4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/>
      </w:tcPr>
    </w:tblStylePr>
    <w:tblStylePr w:type="band1Vert">
      <w:tcPr>
        <w:shd w:val="clear" w:color="ffffff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/>
      </w:tcPr>
    </w:tblStylePr>
    <w:tblStylePr w:type="band1Vert"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/>
      </w:tcPr>
    </w:tblStylePr>
    <w:tblStylePr w:type="band1Vert">
      <w:tcPr>
        <w:shd w:val="clear" w:color="ffffff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/>
      </w:tcPr>
    </w:tblStylePr>
    <w:tblStylePr w:type="band1Vert">
      <w:tcPr>
        <w:shd w:val="clear" w:color="ffffff" w:fill="cfdbf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/>
      </w:tcPr>
    </w:tblStylePr>
    <w:tblStylePr w:type="band1Vert">
      <w:tcPr>
        <w:shd w:val="clear" w:color="ffffff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Fußnotentext Zchn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Endnotentext Zchn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>
    <w:name w:val="No Spacing"/>
    <w:basedOn w:val="677"/>
    <w:uiPriority w:val="1"/>
    <w:qFormat/>
    <w:pPr>
      <w:spacing w:after="0" w:line="240" w:lineRule="auto"/>
    </w:pPr>
  </w:style>
  <w:style w:type="paragraph" w:styleId="858">
    <w:name w:val="List Paragraph"/>
    <w:basedOn w:val="677"/>
    <w:uiPriority w:val="34"/>
    <w:qFormat/>
    <w:pPr>
      <w:numPr>
        <w:numId w:val="1"/>
      </w:numPr>
      <w:contextualSpacing/>
      <w:ind w:left="1077" w:hanging="357"/>
    </w:pPr>
  </w:style>
  <w:style w:type="character" w:styleId="859">
    <w:name w:val="FollowedHyperlink"/>
    <w:basedOn w:val="687"/>
    <w:uiPriority w:val="99"/>
    <w:semiHidden/>
    <w:unhideWhenUsed/>
    <w:rPr>
      <w:color w:val="954F72" w:themeColor="followedHyperlink"/>
      <w:u w:val="single"/>
    </w:rPr>
  </w:style>
  <w:style w:type="paragraph" w:styleId="860" w:customStyle="1">
    <w:name w:val="Nummerierung"/>
    <w:basedOn w:val="858"/>
    <w:qFormat/>
    <w:pPr>
      <w:numPr>
        <w:numId w:val="4"/>
      </w:numPr>
    </w:pPr>
  </w:style>
  <w:style w:type="character" w:styleId="861">
    <w:name w:val="Unresolved Mention"/>
    <w:basedOn w:val="687"/>
    <w:uiPriority w:val="99"/>
    <w:semiHidden/>
    <w:unhideWhenUsed/>
    <w:rPr>
      <w:color w:val="605E5C"/>
      <w:shd w:val="clear" w:color="auto" w:fill="e1dfdd"/>
    </w:rPr>
  </w:style>
  <w:style w:type="paragraph" w:styleId="862">
    <w:name w:val="Balloon Text"/>
    <w:basedOn w:val="677"/>
    <w:link w:val="863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863" w:customStyle="1">
    <w:name w:val="Sprechblasentext Zchn"/>
    <w:basedOn w:val="687"/>
    <w:link w:val="862"/>
    <w:uiPriority w:val="99"/>
    <w:semiHidden/>
    <w:rPr>
      <w:rFonts w:ascii="Times New Roman" w:hAnsi="Times New Roman" w:cs="Times New Roman"/>
      <w:sz w:val="18"/>
      <w:szCs w:val="18"/>
    </w:rPr>
  </w:style>
  <w:style w:type="numbering" w:styleId="864" w:customStyle="1">
    <w:name w:val="Formatvorlage1"/>
    <w:basedOn w:val="689"/>
    <w:uiPriority w:val="99"/>
    <w:pPr>
      <w:numPr>
        <w:numId w:val="5"/>
      </w:numPr>
    </w:pPr>
  </w:style>
  <w:style w:type="numbering" w:styleId="865" w:customStyle="1">
    <w:name w:val="Liste_nummer"/>
    <w:basedOn w:val="689"/>
    <w:uiPriority w:val="99"/>
    <w:pPr>
      <w:numPr>
        <w:numId w:val="6"/>
      </w:numPr>
    </w:pPr>
  </w:style>
  <w:style w:type="numbering" w:styleId="866" w:customStyle="1">
    <w:name w:val="NummerierungNeu"/>
    <w:basedOn w:val="689"/>
    <w:uiPriority w:val="99"/>
    <w:pPr>
      <w:numPr>
        <w:numId w:val="7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creativecommons.org/licenses/by/4.0/deed.de" TargetMode="External"/><Relationship Id="rId13" Type="http://schemas.openxmlformats.org/officeDocument/2006/relationships/hyperlink" Target="http://imoox.at" TargetMode="External"/><Relationship Id="rId14" Type="http://schemas.openxmlformats.org/officeDocument/2006/relationships/hyperlink" Target="https://digitalcommons.montclair.edu/eldj/vol6/iss1/1" TargetMode="External"/><Relationship Id="rId15" Type="http://schemas.openxmlformats.org/officeDocument/2006/relationships/hyperlink" Target="https://edtechbooks.org/ux" TargetMode="External"/><Relationship Id="rId16" Type="http://schemas.openxmlformats.org/officeDocument/2006/relationships/hyperlink" Target="https://lxd.org/fundamentals-of-learning-experience-design/the-origin-of-learning-experience-design/" TargetMode="External"/><Relationship Id="rId17" Type="http://schemas.openxmlformats.org/officeDocument/2006/relationships/hyperlink" Target="https://lxd.org/fundamentals-of-learning-experience-design/what-is-learning-experience-design/" TargetMode="External"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273A72B1-9219-0D43-A3C7-4C6FFDBFB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Didaktik #06 Learning Experience Design - eine Design-Disziplin</dc:title>
  <dc:subject/>
  <dc:creator>TU Graz Lehr- und Lerntechnologien</dc:creator>
  <cp:keywords/>
  <dc:description/>
  <cp:lastModifiedBy>Valgoi, Elisabetta (e.valgoi@tugraz.at)</cp:lastModifiedBy>
  <cp:revision>32</cp:revision>
  <dcterms:created xsi:type="dcterms:W3CDTF">2021-06-14T13:51:00Z</dcterms:created>
  <dcterms:modified xsi:type="dcterms:W3CDTF">2022-05-13T09:51:46Z</dcterms:modified>
</cp:coreProperties>
</file>