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68"/>
        <w:outlineLvl w:val="0"/>
      </w:pPr>
      <w:r>
        <w:t xml:space="preserve">Video &amp; Animation #01 Video in der Lehre: Lehrveranstaltungsaufzeichnung</w:t>
      </w:r>
      <w:r/>
    </w:p>
    <w:tbl>
      <w:tblPr>
        <w:tblStyle w:val="702"/>
        <w:tblW w:w="0" w:type="auto"/>
        <w:tblLook w:val="0480" w:firstRow="0" w:lastRow="0" w:firstColumn="1" w:lastColumn="0" w:noHBand="0" w:noVBand="1"/>
      </w:tblPr>
      <w:tblGrid>
        <w:gridCol w:w="4677"/>
        <w:gridCol w:w="4677"/>
      </w:tblGrid>
      <w:tr>
        <w:trPr/>
        <w:tc>
          <w:tcPr>
            <w:tcW w:w="4677" w:type="dxa"/>
            <w:textDirection w:val="lrTb"/>
            <w:noWrap w:val="false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Autorin</w:t>
            </w:r>
            <w:r>
              <w:rPr>
                <w:b/>
                <w:color w:val="000000" w:themeColor="text1"/>
                <w:sz w:val="24"/>
              </w:rPr>
            </w:r>
            <w:r/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Ypatios Grigoriadis</w:t>
            </w:r>
            <w:r/>
          </w:p>
        </w:tc>
      </w:tr>
      <w:tr>
        <w:trPr/>
        <w:tc>
          <w:tcPr>
            <w:tcW w:w="4677" w:type="dxa"/>
            <w:textDirection w:val="lrTb"/>
            <w:noWrap w:val="false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Veröffentlichung</w:t>
            </w:r>
            <w:r>
              <w:rPr>
                <w:b/>
                <w:color w:val="000000" w:themeColor="text1"/>
                <w:sz w:val="24"/>
              </w:rPr>
            </w:r>
            <w:r/>
          </w:p>
        </w:tc>
        <w:tc>
          <w:tcPr>
            <w:tcW w:w="4677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September 2019</w:t>
            </w:r>
            <w:r/>
          </w:p>
        </w:tc>
      </w:tr>
      <w:tr>
        <w:trPr/>
        <w:tc>
          <w:tcPr>
            <w:tcW w:w="4677" w:type="dxa"/>
            <w:textDirection w:val="lrTb"/>
            <w:noWrap w:val="false"/>
          </w:tcPr>
          <w:p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Lizenz</w:t>
            </w:r>
            <w:r>
              <w:rPr>
                <w:b/>
                <w:color w:val="000000" w:themeColor="text1"/>
                <w:sz w:val="24"/>
              </w:rPr>
            </w:r>
            <w:r/>
          </w:p>
        </w:tc>
        <w:tc>
          <w:tcPr>
            <w:tcW w:w="4677" w:type="dxa"/>
            <w:textDirection w:val="lrTb"/>
            <w:noWrap w:val="false"/>
          </w:tcPr>
          <w:p>
            <w:pPr>
              <w:ind w:left="0" w:right="0" w:firstLine="0"/>
              <w:spacing w:after="0" w:before="0"/>
              <w:pBdr>
                <w:left w:val="none" w:color="000000" w:sz="4" w:space="0"/>
                <w:top w:val="none" w:color="000000" w:sz="4" w:space="0"/>
                <w:right w:val="none" w:color="000000" w:sz="4" w:space="0"/>
                <w:bottom w:val="none" w:color="000000" w:sz="4" w:space="0"/>
              </w:pBdr>
            </w:pPr>
            <w:r>
              <w:rPr>
                <w:sz w:val="24"/>
              </w:rPr>
            </w:r>
            <w:r>
              <w:rPr>
                <w:sz w:val="24"/>
              </w:rPr>
              <w:t xml:space="preserve">Lizenziert unter der </w:t>
            </w:r>
            <w:r>
              <w:rPr>
                <w:sz w:val="24"/>
              </w:rPr>
            </w:r>
            <w:hyperlink r:id="rId11" w:tooltip="CC BY-SA 4.0" w:history="1">
              <w:r>
                <w:rPr>
                  <w:rStyle w:val="826"/>
                  <w:sz w:val="24"/>
                </w:rPr>
                <w:t xml:space="preserve">Creative-Commons-Lizenz CC BY-SA 4.0</w:t>
              </w:r>
            </w:hyperlink>
            <w:r>
              <w:rPr>
                <w:sz w:val="24"/>
              </w:rPr>
              <w:t xml:space="preserve">.</w:t>
            </w:r>
            <w:r>
              <w:rPr>
                <w:sz w:val="24"/>
              </w:rPr>
            </w:r>
            <w:r/>
          </w:p>
        </w:tc>
      </w:tr>
    </w:tbl>
    <w:p>
      <w:pPr>
        <w:jc w:val="left"/>
        <w:rPr>
          <w:highlight w:val="none"/>
        </w:rPr>
      </w:pPr>
      <w:r>
        <w:rPr>
          <w:highlight w:val="none"/>
        </w:rPr>
        <w:t xml:space="preserve">Zitat Em. Univ.-Prof. Lothar Fickert:</w:t>
      </w:r>
      <w:r>
        <w:t xml:space="preserve">„Um es in Titus‘ Worten zu sagen: Die gesprochenen Vorlesungen vergehen, die aufgezeichneten bestehen.“</w:t>
      </w:r>
      <w:r>
        <w:rPr>
          <w:highlight w:val="none"/>
        </w:rPr>
      </w:r>
      <w:r/>
    </w:p>
    <w:p>
      <w:pPr>
        <w:pStyle w:val="670"/>
        <w:outlineLvl w:val="3"/>
      </w:pPr>
      <w:r>
        <w:t xml:space="preserve">Grundidee der Lehrveranstaltungsaufzeichnung</w:t>
      </w:r>
      <w:r/>
    </w:p>
    <w:p>
      <w:pPr>
        <w:ind w:left="0" w:right="0" w:firstLine="0"/>
        <w:spacing w:after="450" w:before="0"/>
        <w:shd w:val="clear" w:color="FFFFFF"/>
        <w:rPr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t xml:space="preserve">Aufzeichnung einer Lehrveranstaltung (kurz: LV) bedeutet die audiovisuelle Dokumentierung ihrer Einheiten, welche typischerweise im Hörsaal einer Universität stattfinden. Die Lehrveranstaltung per se – sprich ihre Inhalte, ihre Dauer oder ihre didaktische </w:t>
      </w:r>
      <w:r>
        <w:t xml:space="preserve">Methode – wird in keiner Weise von der Erstellung des Medienprodukts beeinflusst: Es handelt sich lediglich um das Festhalten des Geschehens der Lehre. Nach einmaliger Aufnahme einer Videosequenz kann diese nun zeit- und ortsunabhängig von Lernenden genutz</w:t>
      </w:r>
      <w:r>
        <w:t xml:space="preserve">t werden.</w:t>
      </w:r>
      <w:r>
        <w:rPr>
          <w:highlight w:val="none"/>
        </w:rPr>
      </w:r>
      <w:r/>
    </w:p>
    <w:p>
      <w:pPr>
        <w:pStyle w:val="670"/>
      </w:pPr>
      <w:r>
        <w:rPr>
          <w:highlight w:val="none"/>
        </w:rPr>
      </w:r>
      <w:r>
        <w:rPr>
          <w:highlight w:val="white"/>
        </w:rPr>
      </w:r>
      <w:hyperlink r:id="rId12" w:tooltip="siehe Website in TU4U" w:history="1">
        <w:r>
          <w:rPr>
            <w:rStyle w:val="826"/>
            <w:highlight w:val="white"/>
          </w:rPr>
          <w:t xml:space="preserve">Gründe &amp; Benefits</w:t>
        </w:r>
        <w:r>
          <w:rPr>
            <w:rStyle w:val="826"/>
            <w:highlight w:val="none"/>
          </w:rPr>
        </w:r>
        <w:r>
          <w:rPr>
            <w:rStyle w:val="826"/>
            <w:highlight w:val="none"/>
          </w:rPr>
        </w:r>
      </w:hyperlink>
      <w:r>
        <w:rPr>
          <w:highlight w:val="none"/>
        </w:rPr>
      </w:r>
      <w:r/>
    </w:p>
    <w:p>
      <w:pPr>
        <w:pStyle w:val="672"/>
      </w:pPr>
      <w:r>
        <w:rPr>
          <w:highlight w:val="white"/>
        </w:rPr>
        <w:t xml:space="preserve">Vorteile für Studierende:</w:t>
      </w:r>
      <w:r/>
    </w:p>
    <w:p>
      <w:pPr>
        <w:pStyle w:val="848"/>
        <w:numPr>
          <w:ilvl w:val="0"/>
          <w:numId w:val="7"/>
        </w:numPr>
        <w:ind w:right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highlight w:val="white"/>
        </w:rPr>
        <w:t xml:space="preserve">Reproduzierbarkeit von Vorgängen und Abläufen</w:t>
      </w:r>
      <w:r/>
    </w:p>
    <w:p>
      <w:pPr>
        <w:pStyle w:val="848"/>
        <w:numPr>
          <w:ilvl w:val="0"/>
          <w:numId w:val="7"/>
        </w:numPr>
        <w:ind w:right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highlight w:val="white"/>
        </w:rPr>
        <w:t xml:space="preserve">Optimierung von Prüfungsvorbereitungen</w:t>
      </w:r>
      <w:r/>
    </w:p>
    <w:p>
      <w:pPr>
        <w:pStyle w:val="848"/>
        <w:numPr>
          <w:ilvl w:val="0"/>
          <w:numId w:val="7"/>
        </w:numPr>
        <w:ind w:right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highlight w:val="white"/>
        </w:rPr>
        <w:t xml:space="preserve">Zeit- und ortsunabhängige Partizipation</w:t>
      </w:r>
      <w:r/>
    </w:p>
    <w:p>
      <w:pPr>
        <w:pStyle w:val="848"/>
        <w:numPr>
          <w:ilvl w:val="0"/>
          <w:numId w:val="7"/>
        </w:numPr>
        <w:ind w:right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highlight w:val="white"/>
        </w:rPr>
        <w:t xml:space="preserve">Erleichterung von berufsbegleitendem Studieren</w:t>
      </w:r>
      <w:r>
        <w:rPr>
          <w:rFonts w:ascii="Open Sans" w:hAnsi="Open Sans" w:cs="Open Sans" w:eastAsia="Open Sans"/>
          <w:sz w:val="24"/>
        </w:rPr>
      </w:r>
      <w:r/>
    </w:p>
    <w:p>
      <w:pPr>
        <w:pStyle w:val="672"/>
      </w:pPr>
      <w:r>
        <w:rPr>
          <w:highlight w:val="white"/>
        </w:rPr>
        <w:t xml:space="preserve">Vorteile für Lehrende:</w:t>
      </w:r>
      <w:r/>
    </w:p>
    <w:p>
      <w:pPr>
        <w:pStyle w:val="848"/>
        <w:numPr>
          <w:ilvl w:val="0"/>
          <w:numId w:val="8"/>
        </w:numPr>
        <w:ind w:right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highlight w:val="white"/>
        </w:rPr>
        <w:t xml:space="preserve">Entlastung der Raumproblematik bei Massenlehrveranstaltungen</w:t>
      </w:r>
      <w:r/>
    </w:p>
    <w:p>
      <w:pPr>
        <w:pStyle w:val="848"/>
        <w:numPr>
          <w:ilvl w:val="0"/>
          <w:numId w:val="8"/>
        </w:numPr>
        <w:ind w:right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highlight w:val="white"/>
        </w:rPr>
        <w:t xml:space="preserve">Verwendung kurzer Tutorials (Anleitungsvideos)</w:t>
      </w:r>
      <w:r/>
    </w:p>
    <w:p>
      <w:pPr>
        <w:pStyle w:val="848"/>
        <w:numPr>
          <w:ilvl w:val="0"/>
          <w:numId w:val="8"/>
        </w:numPr>
        <w:ind w:right="0"/>
        <w:spacing w:after="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highlight w:val="white"/>
        </w:rPr>
        <w:t xml:space="preserve">Unterstützung von modernen Unterrichtsszenarien wie Blended Learning und Flipped </w:t>
      </w:r>
      <w:r>
        <w:rPr>
          <w:highlight w:val="white"/>
        </w:rPr>
        <w:t xml:space="preserve">Classroom</w:t>
      </w:r>
      <w:r/>
    </w:p>
    <w:p>
      <w:pPr>
        <w:pStyle w:val="848"/>
        <w:numPr>
          <w:ilvl w:val="0"/>
          <w:numId w:val="8"/>
        </w:numPr>
        <w:ind w:right="0"/>
        <w:spacing w:after="0" w:before="0"/>
        <w:shd w:val="clear" w:color="FFFFFF"/>
        <w:rPr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highlight w:val="white"/>
        </w:rPr>
        <w:t xml:space="preserve">Möglichkeit zur Nachbereitung, Aufarbeitung und Optimierung der eigenen Lehrveranstaltung mit neuen didaktischen Formen</w:t>
      </w:r>
      <w:r>
        <w:rPr>
          <w:highlight w:val="none"/>
        </w:rPr>
      </w:r>
      <w:r/>
    </w:p>
    <w:p>
      <w:pPr>
        <w:pStyle w:val="848"/>
        <w:numPr>
          <w:ilvl w:val="0"/>
          <w:numId w:val="8"/>
        </w:numPr>
        <w:rPr>
          <w:highlight w:val="none"/>
        </w:rPr>
      </w:pPr>
      <w:r>
        <w:rPr>
          <w:highlight w:val="white"/>
        </w:rPr>
        <w:t xml:space="preserve">Hohes Wiederverwendbarkeitspotential</w:t>
      </w:r>
      <w:r/>
    </w:p>
    <w:p>
      <w:pPr>
        <w:pStyle w:val="670"/>
      </w:pPr>
      <w:r>
        <w:rPr>
          <w:highlight w:val="none"/>
        </w:rPr>
        <w:t xml:space="preserve">Was kann alles aufgezeichnet werden?</w:t>
      </w:r>
      <w:r>
        <w:rPr>
          <w:highlight w:val="none"/>
        </w:rPr>
      </w:r>
      <w:r/>
    </w:p>
    <w:p>
      <w:pPr>
        <w:rPr>
          <w:highlight w:val="none"/>
        </w:rPr>
      </w:pPr>
      <w:r>
        <w:t xml:space="preserve">Dokumentiert kann unter anderem Folgendes werden:</w:t>
      </w:r>
      <w:r/>
    </w:p>
    <w:p>
      <w:pPr>
        <w:pStyle w:val="848"/>
        <w:numPr>
          <w:ilvl w:val="0"/>
          <w:numId w:val="3"/>
        </w:numPr>
        <w:rPr>
          <w:highlight w:val="none"/>
        </w:rPr>
      </w:pPr>
      <w:r>
        <w:rPr>
          <w:highlight w:val="none"/>
        </w:rPr>
        <w:t xml:space="preserve">Audio: </w:t>
      </w:r>
      <w:r/>
    </w:p>
    <w:p>
      <w:pPr>
        <w:pStyle w:val="848"/>
        <w:numPr>
          <w:ilvl w:val="1"/>
          <w:numId w:val="3"/>
        </w:numPr>
      </w:pPr>
      <w:r>
        <w:rPr>
          <w:highlight w:val="none"/>
        </w:rPr>
        <w:t xml:space="preserve">Stimme der Vortragenden</w:t>
      </w:r>
      <w:r>
        <w:rPr>
          <w:highlight w:val="none"/>
        </w:rPr>
      </w:r>
      <w:r/>
    </w:p>
    <w:p>
      <w:pPr>
        <w:pStyle w:val="848"/>
        <w:numPr>
          <w:ilvl w:val="1"/>
          <w:numId w:val="3"/>
        </w:numPr>
      </w:pPr>
      <w:r>
        <w:rPr>
          <w:highlight w:val="none"/>
        </w:rPr>
        <w:t xml:space="preserve">Ton aus dem Laptop</w:t>
      </w:r>
      <w:r>
        <w:rPr>
          <w:highlight w:val="none"/>
        </w:rPr>
      </w:r>
      <w:r/>
    </w:p>
    <w:p>
      <w:pPr>
        <w:pStyle w:val="848"/>
        <w:numPr>
          <w:ilvl w:val="1"/>
          <w:numId w:val="3"/>
        </w:numPr>
      </w:pPr>
      <w:r>
        <w:rPr>
          <w:highlight w:val="none"/>
        </w:rPr>
        <w:t xml:space="preserve">Fragen der Studierenden (wenn möglich)</w:t>
      </w:r>
      <w:r>
        <w:rPr>
          <w:highlight w:val="none"/>
        </w:rPr>
      </w:r>
      <w:r/>
    </w:p>
    <w:p>
      <w:pPr>
        <w:pStyle w:val="848"/>
        <w:numPr>
          <w:ilvl w:val="0"/>
          <w:numId w:val="3"/>
        </w:numPr>
      </w:pPr>
      <w:r>
        <w:rPr>
          <w:highlight w:val="none"/>
        </w:rPr>
        <w:t xml:space="preserve">Video der Vortragenden</w:t>
      </w:r>
      <w:r>
        <w:rPr>
          <w:highlight w:val="none"/>
        </w:rPr>
      </w:r>
      <w:r/>
    </w:p>
    <w:p>
      <w:pPr>
        <w:pStyle w:val="848"/>
        <w:numPr>
          <w:ilvl w:val="1"/>
          <w:numId w:val="3"/>
        </w:numPr>
      </w:pPr>
      <w:r>
        <w:rPr>
          <w:highlight w:val="none"/>
        </w:rPr>
        <w:t xml:space="preserve">am Podium</w:t>
      </w:r>
      <w:r>
        <w:rPr>
          <w:highlight w:val="none"/>
        </w:rPr>
      </w:r>
      <w:r/>
    </w:p>
    <w:p>
      <w:pPr>
        <w:pStyle w:val="848"/>
        <w:numPr>
          <w:ilvl w:val="1"/>
          <w:numId w:val="3"/>
        </w:numPr>
      </w:pPr>
      <w:r>
        <w:rPr>
          <w:highlight w:val="none"/>
        </w:rPr>
        <w:t xml:space="preserve">vor der Tafel</w:t>
      </w:r>
      <w:r>
        <w:rPr>
          <w:highlight w:val="none"/>
        </w:rPr>
      </w:r>
      <w:r/>
    </w:p>
    <w:p>
      <w:pPr>
        <w:pStyle w:val="848"/>
        <w:numPr>
          <w:ilvl w:val="0"/>
          <w:numId w:val="3"/>
        </w:numPr>
      </w:pPr>
      <w:r>
        <w:rPr>
          <w:highlight w:val="none"/>
        </w:rPr>
        <w:t xml:space="preserve">Projektion im Hörsaal</w:t>
      </w:r>
      <w:r>
        <w:rPr>
          <w:highlight w:val="none"/>
        </w:rPr>
      </w:r>
      <w:r/>
    </w:p>
    <w:p>
      <w:pPr>
        <w:pStyle w:val="848"/>
        <w:numPr>
          <w:ilvl w:val="1"/>
          <w:numId w:val="3"/>
        </w:numPr>
      </w:pPr>
      <w:r>
        <w:rPr>
          <w:highlight w:val="none"/>
        </w:rPr>
        <w:t xml:space="preserve">Vortragsfolien</w:t>
      </w:r>
      <w:r>
        <w:rPr>
          <w:highlight w:val="none"/>
        </w:rPr>
      </w:r>
      <w:r/>
    </w:p>
    <w:p>
      <w:pPr>
        <w:pStyle w:val="848"/>
        <w:numPr>
          <w:ilvl w:val="1"/>
          <w:numId w:val="3"/>
        </w:numPr>
      </w:pPr>
      <w:r>
        <w:rPr>
          <w:highlight w:val="none"/>
        </w:rPr>
        <w:t xml:space="preserve">Zeichnungen</w:t>
      </w:r>
      <w:r>
        <w:rPr>
          <w:highlight w:val="none"/>
        </w:rPr>
      </w:r>
      <w:r/>
    </w:p>
    <w:p>
      <w:pPr>
        <w:pStyle w:val="848"/>
        <w:numPr>
          <w:ilvl w:val="1"/>
          <w:numId w:val="3"/>
        </w:numPr>
      </w:pPr>
      <w:r>
        <w:rPr>
          <w:highlight w:val="none"/>
        </w:rPr>
        <w:t xml:space="preserve">Videobeispiele</w:t>
      </w:r>
      <w:r>
        <w:rPr>
          <w:highlight w:val="none"/>
        </w:rPr>
      </w:r>
      <w:r/>
    </w:p>
    <w:p>
      <w:pPr>
        <w:pStyle w:val="670"/>
      </w:pPr>
      <w:r>
        <w:rPr>
          <w:highlight w:val="white"/>
        </w:rPr>
        <w:t xml:space="preserve">Wo findet man das Endprodukt?</w:t>
      </w:r>
      <w:r/>
    </w:p>
    <w:p>
      <w:pPr>
        <w:ind w:left="0" w:firstLine="0"/>
        <w:rPr>
          <w:highlight w:val="none"/>
        </w:rPr>
      </w:pPr>
      <w:r>
        <w:rPr>
          <w:highlight w:val="white"/>
        </w:rPr>
        <w:t xml:space="preserve">Die produzierten Aufzeichnungen werden auf dem Videoportal „T U Graz </w:t>
      </w:r>
      <w:r>
        <w:rPr>
          <w:highlight w:val="white"/>
          <w:lang w:val="en-US"/>
        </w:rPr>
        <w:t xml:space="preserve">TUbe</w:t>
      </w:r>
      <w:r>
        <w:rPr>
          <w:highlight w:val="white"/>
        </w:rPr>
        <w:t xml:space="preserve">“ unter der Kategorie „Courses“ veröffentlicht. TUbe ist das Videoportal der T U Graz. Hier finden Sie Lehrveranstaltungsaufzeichnungen, Eventvideos und sonstige Videos der T U Graz.</w:t>
      </w:r>
      <w:r>
        <w:rPr>
          <w:highlight w:val="none"/>
        </w:rPr>
      </w:r>
      <w:r/>
    </w:p>
    <w:p>
      <w:pPr>
        <w:pStyle w:val="672"/>
      </w:pPr>
      <w:r>
        <w:t xml:space="preserve">Features</w:t>
      </w:r>
      <w:r>
        <w:t xml:space="preserve"> </w:t>
      </w:r>
      <w:r/>
    </w:p>
    <w:p>
      <w:pPr>
        <w:pStyle w:val="848"/>
        <w:numPr>
          <w:ilvl w:val="0"/>
          <w:numId w:val="9"/>
        </w:numPr>
      </w:pPr>
      <w:r>
        <w:t xml:space="preserve">Parallele Anzeige von Bildschirm- &amp; Lehrpersonenaufnahme </w:t>
      </w:r>
      <w:r/>
    </w:p>
    <w:p>
      <w:pPr>
        <w:pStyle w:val="848"/>
        <w:numPr>
          <w:ilvl w:val="0"/>
          <w:numId w:val="9"/>
        </w:numPr>
      </w:pPr>
      <w:r>
        <w:t xml:space="preserve">Das Layout des Players kann von den Nutzern individuell gestaltet werden. </w:t>
      </w:r>
      <w:r/>
    </w:p>
    <w:p>
      <w:pPr>
        <w:pStyle w:val="848"/>
        <w:numPr>
          <w:ilvl w:val="0"/>
          <w:numId w:val="9"/>
        </w:numPr>
      </w:pPr>
      <w:r>
        <w:t xml:space="preserve">Suche: Die Videos können nach Textinhalten durchsucht werden. </w:t>
      </w:r>
      <w:r/>
    </w:p>
    <w:p>
      <w:pPr>
        <w:pStyle w:val="848"/>
        <w:numPr>
          <w:ilvl w:val="0"/>
          <w:numId w:val="9"/>
        </w:numPr>
      </w:pPr>
      <w:r>
        <w:t xml:space="preserve">Optimierte Navigation in der Videozeitlei</w:t>
      </w:r>
      <w:r>
        <w:t xml:space="preserve">ste (Navigationsleiste, Balken) durch Marker und Thumbnails </w:t>
      </w:r>
      <w:r/>
    </w:p>
    <w:p>
      <w:pPr>
        <w:pStyle w:val="848"/>
        <w:numPr>
          <w:ilvl w:val="0"/>
          <w:numId w:val="9"/>
        </w:numPr>
      </w:pPr>
      <w:r>
        <w:t xml:space="preserve">Zoomfunktion in das Video zum Vergrößern von Tafelbildern, Powerpoint, Schaubildern, etc.</w:t>
      </w:r>
      <w:r/>
    </w:p>
    <w:p>
      <w:pPr>
        <w:ind w:left="0" w:firstLine="0"/>
        <w:rPr>
          <w:highlight w:val="none"/>
        </w:rPr>
      </w:pPr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726031" cy="1493018"/>
                <wp:effectExtent l="0" t="0" r="0" b="0"/>
                <wp:docPr id="1" name="" hidden="false" title="Mögliche Aufzeichnungsformate: Split-Screen, bei dem auf der einen Seite die Präsentationsfolien abgebildet sind und auf der anderen Seite die Vortragenden; Full-Screen Video auf TUbe, bei dem die Vortragenden sowie die Präsentationsfolien in einem Bild sind und optimierte Navigation geboten wird.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 hidden="0" title="Mögliche Aufzeichnungsformate: Split-Screen, bei dem auf der einen Seite die Präsentationsfolien abgebildet sind und auf der anderen Seite die Vortragenden; Full-Screen Video auf TUbe, bei dem die Vortragenden sowie die Präsentationsfolien in einem Bild sind und optimierte Navigation geboten wird.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 rot="0" flipH="0" flipV="0">
                          <a:off x="0" y="0"/>
                          <a:ext cx="5726031" cy="14930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450.9pt;height:117.6pt;rotation:0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highlight w:val="none"/>
        </w:rPr>
      </w:r>
      <w:r/>
    </w:p>
    <w:p>
      <w:pPr>
        <w:pStyle w:val="670"/>
        <w:outlineLvl w:val="3"/>
      </w:pPr>
      <w:r>
        <w:t xml:space="preserve">Wie sieht der Zugang zu den Aufzeichnungen aus?</w:t>
      </w:r>
      <w:r/>
    </w:p>
    <w:p>
      <w:r>
        <w:t xml:space="preserve">Die Zugriffsrechte werden gleich dem jeweiligen TeachCenter-Kurs entsprechend </w:t>
      </w:r>
      <w:r>
        <w:t xml:space="preserve">vorgegeben:</w:t>
      </w:r>
      <w:r/>
    </w:p>
    <w:p>
      <w:pPr>
        <w:pStyle w:val="848"/>
        <w:numPr>
          <w:ilvl w:val="0"/>
          <w:numId w:val="5"/>
        </w:numPr>
      </w:pPr>
      <w:r>
        <w:t xml:space="preserve">Begrenzt auf Kursteilnehmer:innen</w:t>
      </w:r>
      <w:r/>
    </w:p>
    <w:p>
      <w:pPr>
        <w:pStyle w:val="848"/>
        <w:numPr>
          <w:ilvl w:val="0"/>
          <w:numId w:val="5"/>
        </w:numPr>
      </w:pPr>
      <w:r>
        <w:t xml:space="preserve">Begrenzt auf alle T U GRAZonline-User:innen</w:t>
      </w:r>
      <w:r/>
    </w:p>
    <w:p>
      <w:pPr>
        <w:pStyle w:val="848"/>
        <w:numPr>
          <w:ilvl w:val="0"/>
          <w:numId w:val="5"/>
        </w:numPr>
      </w:pPr>
      <w:r>
        <w:t xml:space="preserve">Unbegrenzter / öffentlicher Zugang</w:t>
      </w:r>
      <w:r/>
    </w:p>
    <w:p>
      <w:pPr>
        <w:ind w:left="0" w:right="0" w:firstLine="0"/>
        <w:spacing w:after="270" w:before="0"/>
        <w:shd w:val="clear" w:color="FFFFFF"/>
        <w:rPr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outlineLvl w:val="3"/>
      </w:pPr>
      <w:r>
        <w:t xml:space="preserve">Sie können das Lehrveranstaltungsaufzeichnungsservice der T U Graz unter </w:t>
      </w:r>
      <w:hyperlink r:id="rId14" w:tooltip="Link zu dem Bestellformular" w:history="1">
        <w:r>
          <w:rPr>
            <w:rStyle w:val="826"/>
          </w:rPr>
          <w:t xml:space="preserve">folgendem Link</w:t>
        </w:r>
      </w:hyperlink>
      <w:r>
        <w:t xml:space="preserve"> auf T U </w:t>
      </w:r>
      <w:r>
        <w:rPr>
          <w:lang w:val="en-GB"/>
        </w:rPr>
        <w:t xml:space="preserve">4 U</w:t>
      </w:r>
      <w:r>
        <w:t xml:space="preserve"> bestellen.</w:t>
      </w:r>
      <w:r/>
    </w:p>
    <w:p>
      <w:pPr>
        <w:ind w:left="0" w:right="0" w:firstLine="0"/>
        <w:spacing w:after="270" w:before="0"/>
        <w:shd w:val="clear" w:color="FFFFFF"/>
        <w:rPr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outlineLvl w:val="3"/>
      </w:pPr>
      <w:r>
        <w:rPr>
          <w:highlight w:val="none"/>
        </w:rPr>
        <w:t xml:space="preserve">Bestellung L L T:</w:t>
      </w:r>
      <w:r>
        <w:rPr>
          <w:highlight w:val="none"/>
        </w:rPr>
      </w:r>
      <w:r/>
    </w:p>
    <w:p>
      <w:pPr>
        <w:pStyle w:val="848"/>
        <w:numPr>
          <w:ilvl w:val="0"/>
          <w:numId w:val="6"/>
        </w:numPr>
        <w:ind w:right="0"/>
        <w:spacing w:after="270" w:before="0"/>
        <w:shd w:val="clear" w:color="FFFFFF"/>
        <w:rPr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outlineLvl w:val="3"/>
      </w:pPr>
      <w:r>
        <w:rPr>
          <w:highlight w:val="none"/>
        </w:rPr>
        <w:t xml:space="preserve">Audio</w:t>
      </w:r>
      <w:r>
        <w:rPr>
          <w:highlight w:val="none"/>
        </w:rPr>
      </w:r>
      <w:r/>
    </w:p>
    <w:p>
      <w:pPr>
        <w:pStyle w:val="848"/>
        <w:numPr>
          <w:ilvl w:val="0"/>
          <w:numId w:val="6"/>
        </w:numPr>
        <w:ind w:right="0"/>
        <w:spacing w:after="270" w:before="0"/>
        <w:shd w:val="clear" w:color="FFFFFF"/>
        <w:rPr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outlineLvl w:val="3"/>
      </w:pPr>
      <w:r>
        <w:rPr>
          <w:highlight w:val="none"/>
        </w:rPr>
        <w:t xml:space="preserve">Video</w:t>
      </w:r>
      <w:r>
        <w:rPr>
          <w:highlight w:val="none"/>
        </w:rPr>
      </w:r>
      <w:r/>
    </w:p>
    <w:p>
      <w:pPr>
        <w:pStyle w:val="848"/>
        <w:numPr>
          <w:ilvl w:val="0"/>
          <w:numId w:val="6"/>
        </w:numPr>
        <w:ind w:right="0"/>
        <w:spacing w:after="270" w:before="0"/>
        <w:shd w:val="clear" w:color="FFFFFF"/>
        <w:rPr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outlineLvl w:val="3"/>
      </w:pPr>
      <w:r>
        <w:rPr>
          <w:highlight w:val="none"/>
        </w:rPr>
        <w:t xml:space="preserve">Projektion im Hörsaal</w:t>
      </w:r>
      <w:r>
        <w:rPr>
          <w:highlight w:val="none"/>
        </w:rPr>
      </w:r>
      <w:r/>
    </w:p>
    <w:p>
      <w:pPr>
        <w:ind w:left="0" w:right="0" w:firstLine="0"/>
        <w:spacing w:after="27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outlineLvl w:val="3"/>
      </w:pPr>
      <w:r>
        <w:rPr>
          <w:highlight w:val="none"/>
        </w:rPr>
      </w:r>
      <w:r>
        <w:t xml:space="preserve">Danach wird unser Team Sie kontaktieren, um die Bestellung zu bestätigen und mögliche Fragen zu beantworten. </w:t>
      </w:r>
      <w:r/>
    </w:p>
    <w:p>
      <w:pPr>
        <w:ind w:left="0" w:right="0" w:firstLine="0"/>
        <w:spacing w:after="270" w:before="0"/>
        <w:shd w:val="clear" w:color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  <w:outlineLvl w:val="3"/>
      </w:pPr>
      <w:r>
        <w:t xml:space="preserve">Für weitere Informationen schreiben Sie gerne an </w:t>
      </w:r>
      <w:r>
        <w:t xml:space="preserve">das </w:t>
      </w:r>
      <w:hyperlink r:id="rId15" w:tooltip="E-Mail des TUbe-Teams" w:history="1">
        <w:r>
          <w:rPr>
            <w:rStyle w:val="826"/>
          </w:rPr>
          <w:t xml:space="preserve">TUbe-Team</w:t>
        </w:r>
      </w:hyperlink>
      <w:r>
        <w:t xml:space="preserve">.</w:t>
      </w:r>
      <w:r>
        <w:rPr>
          <w:highlight w:val="none"/>
        </w:rPr>
      </w:r>
      <w:r/>
    </w:p>
    <w:p>
      <w:pPr>
        <w:pStyle w:val="670"/>
        <w:rPr>
          <w:highlight w:val="none"/>
        </w:rPr>
      </w:pPr>
      <w:r>
        <w:rPr>
          <w:highlight w:val="none"/>
        </w:rPr>
        <w:t xml:space="preserve">Sticker zum Beitrag </w:t>
      </w:r>
      <w:r/>
    </w:p>
    <w:p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694555" cy="2805900"/>
                <wp:effectExtent l="0" t="0" r="0" b="0"/>
                <wp:docPr id="2" name="" hidden="false" title="Sticker zum Beitrag: schwarz-weiße Filmklappe"/>
                <wp:cNvGraphicFramePr>
                  <a:graphicFrameLocks xmlns:a="http://schemas.openxmlformats.org/drawingml/2006/main" noChangeAspect="true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" hidden="0" title="Sticker zum Beitrag: schwarz-weiße Filmklappe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 rot="0" flipH="0" flipV="0">
                          <a:off x="0" y="0"/>
                          <a:ext cx="2694555" cy="2805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212.2pt;height:220.9pt;rotation:0;" stroked="false">
                <v:path textboxrect="0,0,0,0"/>
                <v:imagedata r:id="rId16" o:title=""/>
              </v:shape>
            </w:pict>
          </mc:Fallback>
        </mc:AlternateContent>
      </w:r>
      <w:r/>
    </w:p>
    <w:sectPr>
      <w:footerReference w:type="default" r:id="rId9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panose1 w:val="020B060603050402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6"/>
      <w:jc w:val="center"/>
    </w:pPr>
    <w:fldSimple w:instr="PAGE \* MERGEFORMAT">
      <w:r>
        <w:t xml:space="preserve">1</w:t>
      </w:r>
    </w:fldSimple>
    <w:r/>
    <w:r/>
  </w:p>
  <w:p>
    <w:pPr>
      <w:pStyle w:val="69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442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162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1882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602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322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042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4762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482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202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cs="Symbol" w:eastAsia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,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 w:hint="default"/>
        <w:sz w:val="22"/>
        <w:szCs w:val="22"/>
        <w:lang w:val="de-DE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8">
    <w:name w:val="Heading 1"/>
    <w:basedOn w:val="844"/>
    <w:next w:val="844"/>
    <w:link w:val="669"/>
    <w:qFormat/>
    <w:uiPriority w:val="9"/>
    <w:rPr>
      <w:rFonts w:ascii="Arial" w:hAnsi="Arial" w:cs="Arial" w:eastAsia="Arial"/>
      <w:b/>
      <w:color w:val="000000"/>
      <w:sz w:val="40"/>
      <w:szCs w:val="40"/>
    </w:rPr>
    <w:pPr>
      <w:keepLines/>
      <w:keepNext/>
      <w:spacing w:after="200" w:before="480"/>
      <w:outlineLvl w:val="0"/>
    </w:pPr>
  </w:style>
  <w:style w:type="character" w:styleId="669">
    <w:name w:val="Heading 1 Char"/>
    <w:link w:val="668"/>
    <w:uiPriority w:val="9"/>
    <w:rPr>
      <w:rFonts w:ascii="Arial" w:hAnsi="Arial" w:cs="Arial" w:eastAsia="Arial"/>
      <w:b/>
      <w:color w:val="000000"/>
    </w:rPr>
  </w:style>
  <w:style w:type="paragraph" w:styleId="670">
    <w:name w:val="Heading 2"/>
    <w:basedOn w:val="844"/>
    <w:next w:val="844"/>
    <w:link w:val="671"/>
    <w:qFormat/>
    <w:uiPriority w:val="9"/>
    <w:unhideWhenUsed/>
    <w:rPr>
      <w:rFonts w:ascii="Arial" w:hAnsi="Arial" w:cs="Arial" w:eastAsia="Arial"/>
      <w:b/>
      <w:sz w:val="34"/>
    </w:rPr>
    <w:pPr>
      <w:keepLines/>
      <w:keepNext/>
      <w:spacing w:after="200" w:before="360"/>
      <w:outlineLvl w:val="1"/>
      <w:suppressLineNumbers w:val="0"/>
    </w:pPr>
  </w:style>
  <w:style w:type="character" w:styleId="671">
    <w:name w:val="Heading 2 Char"/>
    <w:link w:val="670"/>
    <w:uiPriority w:val="9"/>
    <w:rPr>
      <w:b/>
    </w:rPr>
  </w:style>
  <w:style w:type="paragraph" w:styleId="672">
    <w:name w:val="Heading 3"/>
    <w:basedOn w:val="844"/>
    <w:next w:val="844"/>
    <w:link w:val="673"/>
    <w:qFormat/>
    <w:uiPriority w:val="9"/>
    <w:unhideWhenUsed/>
    <w:rPr>
      <w:rFonts w:ascii="Arial" w:hAnsi="Arial" w:cs="Arial" w:eastAsia="Arial"/>
      <w:b/>
      <w:sz w:val="30"/>
      <w:szCs w:val="30"/>
    </w:rPr>
    <w:pPr>
      <w:keepLines/>
      <w:keepNext/>
      <w:spacing w:after="200" w:before="320"/>
      <w:outlineLvl w:val="2"/>
    </w:pPr>
  </w:style>
  <w:style w:type="character" w:styleId="673">
    <w:name w:val="Heading 3 Char"/>
    <w:link w:val="672"/>
    <w:uiPriority w:val="9"/>
    <w:rPr>
      <w:b/>
    </w:rPr>
  </w:style>
  <w:style w:type="paragraph" w:styleId="674">
    <w:name w:val="Heading 4"/>
    <w:basedOn w:val="844"/>
    <w:next w:val="844"/>
    <w:link w:val="675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75">
    <w:name w:val="Heading 4 Char"/>
    <w:link w:val="674"/>
    <w:uiPriority w:val="9"/>
    <w:rPr>
      <w:rFonts w:ascii="Arial" w:hAnsi="Arial" w:cs="Arial" w:eastAsia="Arial"/>
      <w:b/>
      <w:bCs/>
      <w:sz w:val="26"/>
      <w:szCs w:val="26"/>
    </w:rPr>
  </w:style>
  <w:style w:type="paragraph" w:styleId="676">
    <w:name w:val="Heading 5"/>
    <w:basedOn w:val="844"/>
    <w:next w:val="844"/>
    <w:link w:val="677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77">
    <w:name w:val="Heading 5 Char"/>
    <w:link w:val="676"/>
    <w:uiPriority w:val="9"/>
    <w:rPr>
      <w:rFonts w:ascii="Arial" w:hAnsi="Arial" w:cs="Arial" w:eastAsia="Arial"/>
      <w:b/>
      <w:bCs/>
      <w:sz w:val="24"/>
      <w:szCs w:val="24"/>
    </w:rPr>
  </w:style>
  <w:style w:type="paragraph" w:styleId="678">
    <w:name w:val="Heading 6"/>
    <w:basedOn w:val="844"/>
    <w:next w:val="844"/>
    <w:link w:val="679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79">
    <w:name w:val="Heading 6 Char"/>
    <w:link w:val="678"/>
    <w:uiPriority w:val="9"/>
    <w:rPr>
      <w:rFonts w:ascii="Arial" w:hAnsi="Arial" w:cs="Arial" w:eastAsia="Arial"/>
      <w:b/>
      <w:bCs/>
      <w:sz w:val="22"/>
      <w:szCs w:val="22"/>
    </w:rPr>
  </w:style>
  <w:style w:type="paragraph" w:styleId="680">
    <w:name w:val="Heading 7"/>
    <w:basedOn w:val="844"/>
    <w:next w:val="844"/>
    <w:link w:val="681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81">
    <w:name w:val="Heading 7 Char"/>
    <w:link w:val="680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82">
    <w:name w:val="Heading 8"/>
    <w:basedOn w:val="844"/>
    <w:next w:val="844"/>
    <w:link w:val="683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83">
    <w:name w:val="Heading 8 Char"/>
    <w:link w:val="682"/>
    <w:uiPriority w:val="9"/>
    <w:rPr>
      <w:rFonts w:ascii="Arial" w:hAnsi="Arial" w:cs="Arial" w:eastAsia="Arial"/>
      <w:i/>
      <w:iCs/>
      <w:sz w:val="22"/>
      <w:szCs w:val="22"/>
    </w:rPr>
  </w:style>
  <w:style w:type="paragraph" w:styleId="684">
    <w:name w:val="Heading 9"/>
    <w:basedOn w:val="844"/>
    <w:next w:val="844"/>
    <w:link w:val="685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85">
    <w:name w:val="Heading 9 Char"/>
    <w:link w:val="684"/>
    <w:uiPriority w:val="9"/>
    <w:rPr>
      <w:rFonts w:ascii="Arial" w:hAnsi="Arial" w:cs="Arial" w:eastAsia="Arial"/>
      <w:i/>
      <w:iCs/>
      <w:sz w:val="21"/>
      <w:szCs w:val="21"/>
    </w:rPr>
  </w:style>
  <w:style w:type="paragraph" w:styleId="686">
    <w:name w:val="Title"/>
    <w:basedOn w:val="844"/>
    <w:next w:val="844"/>
    <w:link w:val="687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87">
    <w:name w:val="Title Char"/>
    <w:link w:val="686"/>
    <w:uiPriority w:val="10"/>
    <w:rPr>
      <w:sz w:val="48"/>
      <w:szCs w:val="48"/>
    </w:rPr>
  </w:style>
  <w:style w:type="paragraph" w:styleId="688">
    <w:name w:val="Subtitle"/>
    <w:basedOn w:val="844"/>
    <w:next w:val="844"/>
    <w:link w:val="689"/>
    <w:qFormat/>
    <w:uiPriority w:val="11"/>
    <w:rPr>
      <w:sz w:val="24"/>
      <w:szCs w:val="24"/>
    </w:rPr>
    <w:pPr>
      <w:spacing w:after="200" w:before="200"/>
    </w:pPr>
  </w:style>
  <w:style w:type="character" w:styleId="689">
    <w:name w:val="Subtitle Char"/>
    <w:link w:val="688"/>
    <w:uiPriority w:val="11"/>
    <w:rPr>
      <w:sz w:val="24"/>
      <w:szCs w:val="24"/>
    </w:rPr>
  </w:style>
  <w:style w:type="paragraph" w:styleId="690">
    <w:name w:val="Quote"/>
    <w:basedOn w:val="844"/>
    <w:next w:val="844"/>
    <w:link w:val="691"/>
    <w:qFormat/>
    <w:uiPriority w:val="29"/>
    <w:rPr>
      <w:i/>
    </w:rPr>
    <w:pPr>
      <w:ind w:left="720" w:right="720"/>
    </w:pPr>
  </w:style>
  <w:style w:type="character" w:styleId="691">
    <w:name w:val="Quote Char"/>
    <w:link w:val="690"/>
    <w:uiPriority w:val="29"/>
    <w:rPr>
      <w:i/>
    </w:rPr>
  </w:style>
  <w:style w:type="paragraph" w:styleId="692">
    <w:name w:val="Intense Quote"/>
    <w:basedOn w:val="844"/>
    <w:next w:val="844"/>
    <w:link w:val="693"/>
    <w:qFormat/>
    <w:uiPriority w:val="30"/>
    <w:rPr>
      <w:i/>
    </w:rPr>
    <w:pPr>
      <w:contextualSpacing w:val="false"/>
      <w:ind w:left="720" w:right="720"/>
      <w:shd w:val="clear" w:color="F2F2F2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93">
    <w:name w:val="Intense Quote Char"/>
    <w:link w:val="692"/>
    <w:uiPriority w:val="30"/>
    <w:rPr>
      <w:i/>
    </w:rPr>
  </w:style>
  <w:style w:type="paragraph" w:styleId="694">
    <w:name w:val="Header"/>
    <w:basedOn w:val="844"/>
    <w:link w:val="69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95">
    <w:name w:val="Header Char"/>
    <w:link w:val="694"/>
    <w:uiPriority w:val="99"/>
  </w:style>
  <w:style w:type="paragraph" w:styleId="696">
    <w:name w:val="Footer"/>
    <w:basedOn w:val="844"/>
    <w:link w:val="69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97">
    <w:name w:val="Footer Char"/>
    <w:link w:val="696"/>
    <w:uiPriority w:val="99"/>
  </w:style>
  <w:style w:type="paragraph" w:styleId="698">
    <w:name w:val="Caption"/>
    <w:basedOn w:val="844"/>
    <w:next w:val="844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699">
    <w:name w:val="Caption Char"/>
    <w:basedOn w:val="698"/>
    <w:link w:val="696"/>
    <w:uiPriority w:val="99"/>
  </w:style>
  <w:style w:type="table" w:styleId="700">
    <w:name w:val="Table Grid"/>
    <w:basedOn w:val="845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1">
    <w:name w:val="Table Grid Light"/>
    <w:basedOn w:val="845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2">
    <w:name w:val="Plain Table 1"/>
    <w:basedOn w:val="845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3">
    <w:name w:val="Plain Table 2"/>
    <w:basedOn w:val="845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4">
    <w:name w:val="Plain Table 3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5">
    <w:name w:val="Plain Table 4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Plain Table 5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07">
    <w:name w:val="Grid Table 1 Light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1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2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3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1 Light - Accent 4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5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6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2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715">
    <w:name w:val="Grid Table 2 - Accent 1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716">
    <w:name w:val="Grid Table 2 - Accent 2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17">
    <w:name w:val="Grid Table 2 - Accent 3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18">
    <w:name w:val="Grid Table 2 - Accent 4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19">
    <w:name w:val="Grid Table 2 - Accent 5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20">
    <w:name w:val="Grid Table 2 - Accent 6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21">
    <w:name w:val="Grid Table 3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2">
    <w:name w:val="Grid Table 3 - Accent 1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3">
    <w:name w:val="Grid Table 3 - Accent 2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4">
    <w:name w:val="Grid Table 3 - Accent 3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5">
    <w:name w:val="Grid Table 3 - Accent 4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6">
    <w:name w:val="Grid Table 3 - Accent 5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7">
    <w:name w:val="Grid Table 3 - Accent 6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8">
    <w:name w:val="Grid Table 4"/>
    <w:basedOn w:val="84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29">
    <w:name w:val="Grid Table 4 - Accent 1"/>
    <w:basedOn w:val="84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30">
    <w:name w:val="Grid Table 4 - Accent 2"/>
    <w:basedOn w:val="84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31">
    <w:name w:val="Grid Table 4 - Accent 3"/>
    <w:basedOn w:val="84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32">
    <w:name w:val="Grid Table 4 - Accent 4"/>
    <w:basedOn w:val="84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33">
    <w:name w:val="Grid Table 4 - Accent 5"/>
    <w:basedOn w:val="84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34">
    <w:name w:val="Grid Table 4 - Accent 6"/>
    <w:basedOn w:val="84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35">
    <w:name w:val="Grid Table 5 Dark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36">
    <w:name w:val="Grid Table 5 Dark- Accent 1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37">
    <w:name w:val="Grid Table 5 Dark - Accent 2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38">
    <w:name w:val="Grid Table 5 Dark - Accent 3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39">
    <w:name w:val="Grid Table 5 Dark- Accent 4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40">
    <w:name w:val="Grid Table 5 Dark - Accent 5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41">
    <w:name w:val="Grid Table 5 Dark - Accent 6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fill="FFFFFF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fill="FFFFFF"/>
        <w:tcBorders>
          <w:top w:val="single" w:color="000000" w:sz="4" w:space="0" w:themeColor="light1"/>
        </w:tcBorders>
      </w:tcPr>
    </w:tblStylePr>
  </w:style>
  <w:style w:type="table" w:styleId="742">
    <w:name w:val="Grid Table 6 Colorful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3">
    <w:name w:val="Grid Table 6 Colorful - Accent 1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4">
    <w:name w:val="Grid Table 6 Colorful - Accent 2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5">
    <w:name w:val="Grid Table 6 Colorful - Accent 3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6">
    <w:name w:val="Grid Table 6 Colorful - Accent 4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7">
    <w:name w:val="Grid Table 6 Colorful - Accent 5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8">
    <w:name w:val="Grid Table 6 Colorful - Accent 6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9">
    <w:name w:val="Grid Table 7 Colorful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50">
    <w:name w:val="Grid Table 7 Colorful - Accent 1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51">
    <w:name w:val="Grid Table 7 Colorful - Accent 2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52">
    <w:name w:val="Grid Table 7 Colorful - Accent 3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53">
    <w:name w:val="Grid Table 7 Colorful - Accent 4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54">
    <w:name w:val="Grid Table 7 Colorful - Accent 5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55">
    <w:name w:val="Grid Table 7 Colorful - Accent 6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56">
    <w:name w:val="List Table 1 Light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57">
    <w:name w:val="List Table 1 Light - Accent 1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58">
    <w:name w:val="List Table 1 Light - Accent 2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59">
    <w:name w:val="List Table 1 Light - Accent 3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60">
    <w:name w:val="List Table 1 Light - Accent 4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61">
    <w:name w:val="List Table 1 Light - Accent 5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62">
    <w:name w:val="List Table 1 Light - Accent 6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63">
    <w:name w:val="List Table 2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64">
    <w:name w:val="List Table 2 - Accent 1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65">
    <w:name w:val="List Table 2 - Accent 2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66">
    <w:name w:val="List Table 2 - Accent 3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67">
    <w:name w:val="List Table 2 - Accent 4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68">
    <w:name w:val="List Table 2 - Accent 5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69">
    <w:name w:val="List Table 2 - Accent 6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70">
    <w:name w:val="List Table 3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1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2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3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3 - Accent 4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5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6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1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2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3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 - Accent 4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5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6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fill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5 Dark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1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2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3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5 Dark - Accent 4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5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6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fill="FFFFFF"/>
    </w:tblPr>
    <w:tblStylePr w:type="band1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fill="FFFFFF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fill="FFFFFF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fill="FFFFFF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6 Colorful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92">
    <w:name w:val="List Table 6 Colorful - Accent 1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93">
    <w:name w:val="List Table 6 Colorful - Accent 2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94">
    <w:name w:val="List Table 6 Colorful - Accent 3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95">
    <w:name w:val="List Table 6 Colorful - Accent 4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96">
    <w:name w:val="List Table 6 Colorful - Accent 5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97">
    <w:name w:val="List Table 6 Colorful - Accent 6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98">
    <w:name w:val="List Table 7 Colorful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9">
    <w:name w:val="List Table 7 Colorful - Accent 1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0">
    <w:name w:val="List Table 7 Colorful - Accent 2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1">
    <w:name w:val="List Table 7 Colorful - Accent 3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2">
    <w:name w:val="List Table 7 Colorful - Accent 4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3">
    <w:name w:val="List Table 7 Colorful - Accent 5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4">
    <w:name w:val="List Table 7 Colorful - Accent 6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fill="FFFFFF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5">
    <w:name w:val="Lined - Accent"/>
    <w:basedOn w:val="84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06">
    <w:name w:val="Lined - Accent 1"/>
    <w:basedOn w:val="84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07">
    <w:name w:val="Lined - Accent 2"/>
    <w:basedOn w:val="84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08">
    <w:name w:val="Lined - Accent 3"/>
    <w:basedOn w:val="84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09">
    <w:name w:val="Lined - Accent 4"/>
    <w:basedOn w:val="84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10">
    <w:name w:val="Lined - Accent 5"/>
    <w:basedOn w:val="84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11">
    <w:name w:val="Lined - Accent 6"/>
    <w:basedOn w:val="84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12">
    <w:name w:val="Bordered &amp; Lined - Accent"/>
    <w:basedOn w:val="84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13">
    <w:name w:val="Bordered &amp; Lined - Accent 1"/>
    <w:basedOn w:val="84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14">
    <w:name w:val="Bordered &amp; Lined - Accent 2"/>
    <w:basedOn w:val="84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15">
    <w:name w:val="Bordered &amp; Lined - Accent 3"/>
    <w:basedOn w:val="84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16">
    <w:name w:val="Bordered &amp; Lined - Accent 4"/>
    <w:basedOn w:val="84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17">
    <w:name w:val="Bordered &amp; Lined - Accent 5"/>
    <w:basedOn w:val="84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18">
    <w:name w:val="Bordered &amp; Lined - Accent 6"/>
    <w:basedOn w:val="84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FFFFF"/>
      </w:tcPr>
    </w:tblStylePr>
  </w:style>
  <w:style w:type="table" w:styleId="819">
    <w:name w:val="Bordered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820">
    <w:name w:val="Bordered - Accent 1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821">
    <w:name w:val="Bordered - Accent 2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822">
    <w:name w:val="Bordered - Accent 3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823">
    <w:name w:val="Bordered - Accent 4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824">
    <w:name w:val="Bordered - Accent 5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825">
    <w:name w:val="Bordered - Accent 6"/>
    <w:basedOn w:val="84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826">
    <w:name w:val="Hyperlink"/>
    <w:uiPriority w:val="99"/>
    <w:unhideWhenUsed/>
    <w:rPr>
      <w:color w:val="0000FF" w:themeColor="hyperlink"/>
      <w:u w:val="single"/>
    </w:rPr>
  </w:style>
  <w:style w:type="paragraph" w:styleId="827">
    <w:name w:val="footnote text"/>
    <w:basedOn w:val="844"/>
    <w:link w:val="828"/>
    <w:uiPriority w:val="99"/>
    <w:semiHidden/>
    <w:unhideWhenUsed/>
    <w:rPr>
      <w:sz w:val="18"/>
    </w:rPr>
    <w:pPr>
      <w:spacing w:lineRule="auto" w:line="240" w:after="40"/>
    </w:pPr>
  </w:style>
  <w:style w:type="character" w:styleId="828">
    <w:name w:val="Footnote Text Char"/>
    <w:link w:val="827"/>
    <w:uiPriority w:val="99"/>
    <w:rPr>
      <w:sz w:val="18"/>
    </w:rPr>
  </w:style>
  <w:style w:type="character" w:styleId="829">
    <w:name w:val="footnote reference"/>
    <w:uiPriority w:val="99"/>
    <w:unhideWhenUsed/>
    <w:rPr>
      <w:vertAlign w:val="superscript"/>
    </w:rPr>
  </w:style>
  <w:style w:type="paragraph" w:styleId="830">
    <w:name w:val="endnote text"/>
    <w:basedOn w:val="844"/>
    <w:link w:val="831"/>
    <w:uiPriority w:val="99"/>
    <w:semiHidden/>
    <w:unhideWhenUsed/>
    <w:rPr>
      <w:sz w:val="20"/>
    </w:rPr>
    <w:pPr>
      <w:spacing w:lineRule="auto" w:line="240" w:after="0"/>
    </w:pPr>
  </w:style>
  <w:style w:type="character" w:styleId="831">
    <w:name w:val="Endnote Text Char"/>
    <w:link w:val="830"/>
    <w:uiPriority w:val="99"/>
    <w:rPr>
      <w:sz w:val="20"/>
    </w:rPr>
  </w:style>
  <w:style w:type="character" w:styleId="832">
    <w:name w:val="endnote reference"/>
    <w:uiPriority w:val="99"/>
    <w:semiHidden/>
    <w:unhideWhenUsed/>
    <w:rPr>
      <w:vertAlign w:val="superscript"/>
    </w:rPr>
  </w:style>
  <w:style w:type="paragraph" w:styleId="833">
    <w:name w:val="toc 1"/>
    <w:basedOn w:val="844"/>
    <w:next w:val="844"/>
    <w:uiPriority w:val="39"/>
    <w:unhideWhenUsed/>
    <w:pPr>
      <w:ind w:left="0" w:right="0" w:firstLine="0"/>
      <w:spacing w:after="57"/>
    </w:pPr>
  </w:style>
  <w:style w:type="paragraph" w:styleId="834">
    <w:name w:val="toc 2"/>
    <w:basedOn w:val="844"/>
    <w:next w:val="844"/>
    <w:uiPriority w:val="39"/>
    <w:unhideWhenUsed/>
    <w:pPr>
      <w:ind w:left="283" w:right="0" w:firstLine="0"/>
      <w:spacing w:after="57"/>
    </w:pPr>
  </w:style>
  <w:style w:type="paragraph" w:styleId="835">
    <w:name w:val="toc 3"/>
    <w:basedOn w:val="844"/>
    <w:next w:val="844"/>
    <w:uiPriority w:val="39"/>
    <w:unhideWhenUsed/>
    <w:pPr>
      <w:ind w:left="567" w:right="0" w:firstLine="0"/>
      <w:spacing w:after="57"/>
    </w:pPr>
  </w:style>
  <w:style w:type="paragraph" w:styleId="836">
    <w:name w:val="toc 4"/>
    <w:basedOn w:val="844"/>
    <w:next w:val="844"/>
    <w:uiPriority w:val="39"/>
    <w:unhideWhenUsed/>
    <w:pPr>
      <w:ind w:left="850" w:right="0" w:firstLine="0"/>
      <w:spacing w:after="57"/>
    </w:pPr>
  </w:style>
  <w:style w:type="paragraph" w:styleId="837">
    <w:name w:val="toc 5"/>
    <w:basedOn w:val="844"/>
    <w:next w:val="844"/>
    <w:uiPriority w:val="39"/>
    <w:unhideWhenUsed/>
    <w:pPr>
      <w:ind w:left="1134" w:right="0" w:firstLine="0"/>
      <w:spacing w:after="57"/>
    </w:pPr>
  </w:style>
  <w:style w:type="paragraph" w:styleId="838">
    <w:name w:val="toc 6"/>
    <w:basedOn w:val="844"/>
    <w:next w:val="844"/>
    <w:uiPriority w:val="39"/>
    <w:unhideWhenUsed/>
    <w:pPr>
      <w:ind w:left="1417" w:right="0" w:firstLine="0"/>
      <w:spacing w:after="57"/>
    </w:pPr>
  </w:style>
  <w:style w:type="paragraph" w:styleId="839">
    <w:name w:val="toc 7"/>
    <w:basedOn w:val="844"/>
    <w:next w:val="844"/>
    <w:uiPriority w:val="39"/>
    <w:unhideWhenUsed/>
    <w:pPr>
      <w:ind w:left="1701" w:right="0" w:firstLine="0"/>
      <w:spacing w:after="57"/>
    </w:pPr>
  </w:style>
  <w:style w:type="paragraph" w:styleId="840">
    <w:name w:val="toc 8"/>
    <w:basedOn w:val="844"/>
    <w:next w:val="844"/>
    <w:uiPriority w:val="39"/>
    <w:unhideWhenUsed/>
    <w:pPr>
      <w:ind w:left="1984" w:right="0" w:firstLine="0"/>
      <w:spacing w:after="57"/>
    </w:pPr>
  </w:style>
  <w:style w:type="paragraph" w:styleId="841">
    <w:name w:val="toc 9"/>
    <w:basedOn w:val="844"/>
    <w:next w:val="844"/>
    <w:uiPriority w:val="39"/>
    <w:unhideWhenUsed/>
    <w:pPr>
      <w:ind w:left="2268" w:right="0" w:firstLine="0"/>
      <w:spacing w:after="57"/>
    </w:pPr>
  </w:style>
  <w:style w:type="paragraph" w:styleId="842">
    <w:name w:val="TOC Heading"/>
    <w:uiPriority w:val="39"/>
    <w:unhideWhenUsed/>
  </w:style>
  <w:style w:type="paragraph" w:styleId="843">
    <w:name w:val="table of figures"/>
    <w:basedOn w:val="844"/>
    <w:next w:val="844"/>
    <w:uiPriority w:val="99"/>
    <w:unhideWhenUsed/>
    <w:pPr>
      <w:spacing w:after="0" w:afterAutospacing="0"/>
    </w:pPr>
  </w:style>
  <w:style w:type="paragraph" w:styleId="844" w:default="1">
    <w:name w:val="Normal"/>
    <w:qFormat/>
    <w:rPr>
      <w:sz w:val="24"/>
    </w:rPr>
    <w:pPr>
      <w:contextualSpacing w:val="false"/>
      <w:jc w:val="left"/>
      <w:spacing w:lineRule="auto" w:line="276" w:after="200" w:before="200"/>
      <w:suppressLineNumbers w:val="0"/>
    </w:pPr>
  </w:style>
  <w:style w:type="table" w:styleId="84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6" w:default="1">
    <w:name w:val="No List"/>
    <w:uiPriority w:val="99"/>
    <w:semiHidden/>
    <w:unhideWhenUsed/>
  </w:style>
  <w:style w:type="paragraph" w:styleId="847">
    <w:name w:val="No Spacing"/>
    <w:basedOn w:val="844"/>
    <w:qFormat/>
    <w:uiPriority w:val="1"/>
    <w:pPr>
      <w:spacing w:lineRule="auto" w:line="240" w:after="0"/>
    </w:pPr>
  </w:style>
  <w:style w:type="paragraph" w:styleId="848">
    <w:name w:val="List Paragraph"/>
    <w:basedOn w:val="844"/>
    <w:qFormat/>
    <w:uiPriority w:val="34"/>
    <w:pPr>
      <w:contextualSpacing w:val="true"/>
      <w:ind w:left="720"/>
    </w:pPr>
  </w:style>
  <w:style w:type="character" w:styleId="849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creativecommons.org/licenses/by-sa/4.0/deed.de" TargetMode="External"/><Relationship Id="rId12" Type="http://schemas.openxmlformats.org/officeDocument/2006/relationships/hyperlink" Target="https://tu4u.tugraz.at/bedienstete/lehre/services-fuer-lehrende/lehr-und- lerntechnologien-fuer-lehrende/e-learning/" TargetMode="External"/><Relationship Id="rId13" Type="http://schemas.openxmlformats.org/officeDocument/2006/relationships/image" Target="media/image1.png"/><Relationship Id="rId14" Type="http://schemas.openxmlformats.org/officeDocument/2006/relationships/hyperlink" Target="https://tu4u.tugraz.at/bedienstete/it-services/lehre/lehrveranstaltungsaufzeichnungen/bestellen/" TargetMode="External"/><Relationship Id="rId15" Type="http://schemas.openxmlformats.org/officeDocument/2006/relationships/hyperlink" Target="mailto:tube@tugraz.at" TargetMode="External"/><Relationship Id="rId16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ONLYOFFICE/6.3.1.32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Video &amp; Animation #01 Video in der Lehre: Lehrveranstaltungsaufzeichnung</dc:title>
  <dc:subject/>
  <dc:creator>Ypatios Grigoriadis</dc:creator>
  <dc:description/>
  <cp:lastModifiedBy>Gasplmayr, Katharina (katharina.gasplmayr@tugraz.at)</cp:lastModifiedBy>
  <cp:revision>16</cp:revision>
  <dcterms:modified xsi:type="dcterms:W3CDTF">2021-08-09T10:29:24Z</dcterms:modified>
</cp:coreProperties>
</file>