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6"/>
        <w:rPr>
          <w:b/>
        </w:rPr>
        <w:outlineLvl w:val="0"/>
      </w:pPr>
      <w:r>
        <w:rPr>
          <w:b/>
        </w:rPr>
        <w:t xml:space="preserve">Video &amp; Animation #02 </w:t>
      </w:r>
      <w:r>
        <w:rPr>
          <w:b/>
        </w:rPr>
        <w:t xml:space="preserve">Videoproduktion im L L T-Studio der T U Graz</w:t>
      </w:r>
      <w:r>
        <w:rPr>
          <w:b/>
        </w:rPr>
      </w:r>
      <w:r/>
    </w:p>
    <w:tbl>
      <w:tblPr>
        <w:tblStyle w:val="668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40" w:after="198" w:before="198"/>
              <w:rPr>
                <w:color w:val="000000"/>
              </w:rPr>
              <w:suppressLineNumbers w:val="0"/>
            </w:pPr>
            <w:r>
              <w:rPr>
                <w:b/>
                <w:color w:val="000000" w:themeColor="text1"/>
                <w:sz w:val="24"/>
              </w:rPr>
              <w:t xml:space="preserve">Autor:innen</w:t>
            </w:r>
            <w:r>
              <w:rPr>
                <w:b/>
                <w:color w:val="000000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40" w:after="198" w:before="198"/>
              <w:suppressLineNumbers w:val="0"/>
            </w:pPr>
            <w:r>
              <w:rPr>
                <w:sz w:val="24"/>
              </w:rPr>
              <w:t xml:space="preserve">Video- und Animations-Team &amp; Ypatios Grigoriadis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40" w:after="198" w:before="198"/>
              <w:rPr>
                <w:color w:val="000000"/>
              </w:rPr>
              <w:suppressLineNumbers w:val="0"/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40" w:after="198" w:before="198"/>
              <w:suppressLineNumbers w:val="0"/>
            </w:pPr>
            <w:r>
              <w:rPr>
                <w:sz w:val="24"/>
              </w:rPr>
              <w:t xml:space="preserve">September 2019</w:t>
            </w:r>
            <w:r>
              <w:rPr>
                <w:sz w:val="24"/>
              </w:rPr>
              <w:t xml:space="preserve"> 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40" w:after="198" w:before="198"/>
              <w:rPr>
                <w:color w:val="000000"/>
              </w:rPr>
              <w:suppressLineNumbers w:val="0"/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200" w:afterAutospacing="0" w:before="200" w:beforeAutospacing="0"/>
              <w:shd w:val="clear" w:fill="auto" w:color="auto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rPr>
                <w:sz w:val="24"/>
              </w:rPr>
              <w:t xml:space="preserve">Lizenziert unter der </w:t>
            </w:r>
            <w:r>
              <w:rPr>
                <w:sz w:val="24"/>
              </w:rPr>
            </w:r>
            <w:hyperlink r:id="rId10" w:tooltip="CC BY-SA 4.0" w:history="1">
              <w:r>
                <w:rPr>
                  <w:rStyle w:val="794"/>
                  <w:sz w:val="24"/>
                </w:rPr>
                <w:t xml:space="preserve">Creative-Commons-Lizenz CC BY-SA 4.0</w:t>
              </w:r>
            </w:hyperlink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/>
          </w:p>
        </w:tc>
      </w:tr>
    </w:tbl>
    <w:p>
      <w:pPr>
        <w:contextualSpacing w:val="false"/>
        <w:jc w:val="left"/>
        <w:spacing w:lineRule="auto" w:line="276" w:after="200" w:before="198"/>
        <w:rPr>
          <w:highlight w:val="none"/>
        </w:rPr>
        <w:suppressLineNumbers w:val="0"/>
      </w:pPr>
      <w:r>
        <w:rPr>
          <w:highlight w:val="white"/>
        </w:rPr>
        <w:t xml:space="preserve">H</w:t>
      </w:r>
      <w:r>
        <w:rPr>
          <w:highlight w:val="white"/>
        </w:rPr>
        <w:t xml:space="preserve">aben Sie schon gewusst, dass die T U Graz über ein professionelles Studio für Lehrvideoproduktionen verfügt? Für all jene, die noch keinen Blick in unser Videoproduktions-Herzstück werfen konnten, haben wir für Sie die wichtigsten Informationen rund um das</w:t>
      </w:r>
      <w:r>
        <w:rPr>
          <w:highlight w:val="white"/>
        </w:rPr>
        <w:t xml:space="preserve"> Studio zusammengestellt. </w:t>
      </w:r>
      <w:r>
        <w:t xml:space="preserve">Für eine kurze Studiotour folgen Sie am besten gleich </w:t>
      </w:r>
      <w:hyperlink r:id="rId11" w:tooltip="Link zu dem Video" w:history="1">
        <w:r>
          <w:rPr>
            <w:rStyle w:val="794"/>
          </w:rPr>
          <w:t xml:space="preserve">diesem Link</w:t>
        </w:r>
      </w:hyperlink>
      <w:r>
        <w:t xml:space="preserve">.</w:t>
      </w:r>
      <w:r>
        <w:rPr>
          <w:highlight w:val="white"/>
        </w:rPr>
      </w:r>
      <w:r/>
    </w:p>
    <w:p>
      <w:pPr>
        <w:pStyle w:val="638"/>
        <w:outlineLvl w:val="2"/>
      </w:pPr>
      <w:r>
        <w:rPr>
          <w:highlight w:val="none"/>
        </w:rPr>
      </w:r>
      <w:r>
        <w:t xml:space="preserve">Warum gibt es ein Studio an der T U Graz? </w:t>
      </w:r>
      <w:r>
        <w:rPr>
          <w:highlight w:val="none"/>
        </w:rPr>
      </w:r>
      <w:r/>
    </w:p>
    <w:p>
      <w:r>
        <w:t xml:space="preserve">D</w:t>
      </w:r>
      <w:r>
        <w:t xml:space="preserve">ie T U Graz hat es sich zur Aufgabe gemacht, auch virtuelle Anteile in der Lehre zu verankern, z. B. durch die Produktion von Lehr- und Lernvideos. Dies geschah bis zum August 2016 noch auf eine improvisierte Art und Weise, welche dann durch ein stationäre</w:t>
      </w:r>
      <w:r>
        <w:t xml:space="preserve">s</w:t>
      </w:r>
      <w:r>
        <w:t xml:space="preserve">, professionelles Studio in der Münzgrabenstraße 35a ersetzt wurde. Ypatios Grigoriadis, Teamleiter des Video- und Animations-Teams, sieht dies als einen wichtigen Schritt für die T U Graz, da Lehr- und Lernvideos seit diesem Zeitpunkt unter Studiobedingungen aufgenommen wer</w:t>
      </w:r>
      <w:r>
        <w:t xml:space="preserve">den können – für hochwertige Aufnahmen sind diese Bedingungen essenziell. Seit der Eröffnung des L L T-Studios kamen Besucher:innen von Hochschulen rund um die Welt, um das Setting des Studios und das Konzept zu besichtigen.</w:t>
      </w:r>
      <w:r/>
    </w:p>
    <w:p>
      <w:pPr>
        <w:pStyle w:val="638"/>
        <w:rPr>
          <w:highlight w:val="none"/>
        </w:rPr>
        <w:outlineLvl w:val="2"/>
      </w:pPr>
      <w:r>
        <w:t xml:space="preserve">Was bietet mir das Studio?</w:t>
      </w:r>
      <w:r/>
    </w:p>
    <w:p>
      <w:pPr>
        <w:pStyle w:val="640"/>
        <w:rPr>
          <w:b/>
        </w:rPr>
        <w:outlineLvl w:val="4"/>
      </w:pPr>
      <w:r>
        <w:rPr>
          <w:b/>
        </w:rPr>
        <w:t xml:space="preserve">Lehrvideo-</w:t>
      </w:r>
      <w:r>
        <w:t xml:space="preserve">Erstellung </w:t>
      </w:r>
      <w:r>
        <w:rPr>
          <w:b/>
        </w:rPr>
        <w:t xml:space="preserve">aller Art:</w:t>
      </w:r>
      <w:r>
        <w:rPr>
          <w:b/>
        </w:rPr>
      </w:r>
      <w:r/>
    </w:p>
    <w:p>
      <w:pPr>
        <w:pStyle w:val="816"/>
        <w:numPr>
          <w:ilvl w:val="0"/>
          <w:numId w:val="1"/>
        </w:numPr>
        <w:ind w:right="0"/>
        <w:spacing w:after="75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Konventionelle Vorträge, meist mit Folien oder Grafiken unterstützt</w:t>
      </w:r>
      <w:r/>
    </w:p>
    <w:p>
      <w:pPr>
        <w:pStyle w:val="816"/>
        <w:numPr>
          <w:ilvl w:val="0"/>
          <w:numId w:val="1"/>
        </w:numPr>
        <w:ind w:right="0"/>
        <w:spacing w:after="75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Experteninterview/Interview</w:t>
      </w:r>
      <w:r/>
    </w:p>
    <w:p>
      <w:pPr>
        <w:pStyle w:val="816"/>
        <w:numPr>
          <w:ilvl w:val="0"/>
          <w:numId w:val="1"/>
        </w:numPr>
        <w:ind w:right="0"/>
        <w:spacing w:after="75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Komplette MOOC</w:t>
      </w:r>
      <w:r>
        <w:t xml:space="preserve">-Produktion (</w:t>
      </w:r>
      <w:r>
        <w:t xml:space="preserve">MOOCs sind Massive Open Online Courses; sie kombinieren traditionelle Formen der Wissensvermittlung wie Videos, Lesematerial und Problemstellungen mit Foren, in denen Lehrende und Lernende interagieren und in virtuellen  Lerngruppen zusammenarbeiten</w:t>
      </w:r>
      <w:r>
        <w:t xml:space="preserve">)</w:t>
      </w:r>
      <w:r/>
    </w:p>
    <w:p>
      <w:pPr>
        <w:pStyle w:val="816"/>
        <w:numPr>
          <w:ilvl w:val="0"/>
          <w:numId w:val="1"/>
        </w:numPr>
        <w:ind w:right="0"/>
        <w:spacing w:after="75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Audioaufnahmen/Vertonung vorhandener Videos</w:t>
      </w:r>
      <w:r/>
    </w:p>
    <w:p>
      <w:pPr>
        <w:pStyle w:val="816"/>
        <w:numPr>
          <w:ilvl w:val="0"/>
          <w:numId w:val="1"/>
        </w:numPr>
        <w:ind w:right="0"/>
        <w:spacing w:after="75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Verfilmung von Objekten/ Gegenständen</w:t>
      </w:r>
      <w:r/>
    </w:p>
    <w:p>
      <w:pPr>
        <w:pStyle w:val="816"/>
        <w:numPr>
          <w:ilvl w:val="0"/>
          <w:numId w:val="1"/>
        </w:numPr>
        <w:ind w:right="0"/>
        <w:spacing w:after="75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Nach der Aufnahme: „Video to GO“. Sollten keine Nachbearbeitungen nötig sein, kann das „Video to GO“ mitgenommen werden.</w:t>
      </w:r>
      <w:r/>
    </w:p>
    <w:p>
      <w:pPr>
        <w:pStyle w:val="640"/>
        <w:outlineLvl w:val="4"/>
      </w:pPr>
      <w:r>
        <w:t xml:space="preserve">Betreuung durch das professionelle Videoteam</w:t>
      </w:r>
      <w:r/>
    </w:p>
    <w:p>
      <w:pPr>
        <w:pStyle w:val="816"/>
        <w:numPr>
          <w:ilvl w:val="0"/>
          <w:numId w:val="4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Unterstützung bei der Drehbuch-Konzeption</w:t>
      </w:r>
      <w:r/>
    </w:p>
    <w:p>
      <w:pPr>
        <w:pStyle w:val="816"/>
        <w:numPr>
          <w:ilvl w:val="0"/>
          <w:numId w:val="4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Einschätzung des Aufwands</w:t>
      </w:r>
      <w:r/>
    </w:p>
    <w:p>
      <w:pPr>
        <w:pStyle w:val="816"/>
        <w:numPr>
          <w:ilvl w:val="0"/>
          <w:numId w:val="4"/>
        </w:numPr>
        <w:ind w:right="0"/>
        <w:spacing w:after="0" w:before="0"/>
        <w:shd w:val="clear" w:color="FFFFFF"/>
        <w:rPr>
          <w:highlight w:val="whit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Videoschnitt &amp; -bearbeitung</w:t>
      </w:r>
      <w:r/>
    </w:p>
    <w:p>
      <w:pPr>
        <w:pStyle w:val="816"/>
        <w:numPr>
          <w:ilvl w:val="0"/>
          <w:numId w:val="4"/>
        </w:numPr>
        <w:ind w:right="0"/>
        <w:spacing w:after="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</w:r>
      <w:r>
        <w:rPr>
          <w:highlight w:val="white"/>
        </w:rPr>
        <w:t xml:space="preserve">Auftrittscoaching</w:t>
      </w:r>
      <w:r>
        <w:rPr>
          <w:highlight w:val="none"/>
        </w:rPr>
      </w:r>
      <w:r/>
    </w:p>
    <w:p>
      <w:pPr>
        <w:spacing w:after="198" w:afterAutospacing="0"/>
      </w:pPr>
      <w:r>
        <w:rPr>
          <w:highlight w:val="none"/>
        </w:rPr>
      </w:r>
      <w:r>
        <w:t xml:space="preserve">Vertiefende Informationen zu der Gestaltung, der Produktion und dem Einsatz finden Sie in: Ebner, M., Schön, S. (2017) Lern-und Lehrvideos: Gestaltung, Produktion, Einsatz. Handbuch E-Learning. 71. 4.61. S. 1-14</w:t>
      </w:r>
      <w:r/>
    </w:p>
    <w:p>
      <w:pPr>
        <w:spacing w:after="198" w:afterAutospacing="0"/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8317" cy="2090539"/>
                <wp:effectExtent l="0" t="0" r="1" b="0"/>
                <wp:docPr id="1" name="" hidden="false" title="Beispielsbilder eines Videodrehs im Studio. Man sieht die Perspektive der Kamera und die Perspektive der Lehrenden, welche präsentieren 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Beispielsbilder eines Videodrehs im Studio. Man sieht die Perspektive der Kamera und die Perspektive der Lehrenden, welche präsentieren 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5648316" cy="20905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4.7pt;height:164.6pt;rotation:0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Wichtig: </w:t>
      </w:r>
      <w:r>
        <w:t xml:space="preserve">Falls Sie keine Erfahrung vor der Kamera haben oder sich unsicher fühlen, bieten wir Ihnen gerne ein individuelles Training für Körpersprache und Gestik sowie Stimm- &amp; Sprechtraining an.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Tipp: </w:t>
      </w:r>
      <w:r>
        <w:t xml:space="preserve">Um Ihnen das Sprechen vor der Kamera zu erleichtern, haben wir im Studio einen Teleprompter, auf dem Sie Ihre Texte direkt vor der Kamera „ablesen“ können.</w:t>
      </w:r>
      <w:r>
        <w:rPr>
          <w:highlight w:val="none"/>
        </w:rPr>
      </w:r>
      <w:r/>
    </w:p>
    <w:p>
      <w:pPr>
        <w:pStyle w:val="638"/>
        <w:rPr>
          <w:highlight w:val="none"/>
        </w:rPr>
      </w:pPr>
      <w:r>
        <w:rPr>
          <w:highlight w:val="none"/>
        </w:rPr>
      </w:r>
      <w:r>
        <w:t xml:space="preserve">Was muss ich konkret tun, wenn ich ein typisches Lehrvideo im Studio aufnehmen möchte? </w:t>
      </w:r>
      <w:r>
        <w:rPr>
          <w:highlight w:val="none"/>
        </w:rPr>
      </w:r>
      <w:r/>
    </w:p>
    <w:p>
      <w:pPr>
        <w:rPr>
          <w:highlight w:val="none"/>
        </w:rPr>
      </w:pPr>
      <w:r>
        <w:t xml:space="preserve">Unter einem „typischen Lehrvideo“ versteht man mit Folien oder Grafiken unterstützte Vorträge einer Lehrperson.</w:t>
      </w:r>
      <w:r/>
    </w:p>
    <w:p>
      <w:pPr>
        <w:pStyle w:val="816"/>
        <w:numPr>
          <w:ilvl w:val="0"/>
          <w:numId w:val="3"/>
        </w:numPr>
      </w:pPr>
      <w:r>
        <w:rPr>
          <w:highlight w:val="none"/>
        </w:rPr>
      </w:r>
      <w:r>
        <w:t xml:space="preserve">Kontaktaufnahme mit dem </w:t>
      </w:r>
      <w:hyperlink r:id="rId13" w:tooltip="E-Mail des Video- und Animationsteams" w:history="1">
        <w:r>
          <w:rPr>
            <w:rStyle w:val="794"/>
          </w:rPr>
          <w:t xml:space="preserve">Video- und Animations-Team</w:t>
        </w:r>
      </w:hyperlink>
      <w:r>
        <w:t xml:space="preserve"> &amp; Termin(e) vereinbaren </w:t>
      </w:r>
      <w:r/>
    </w:p>
    <w:p>
      <w:pPr>
        <w:pStyle w:val="816"/>
        <w:numPr>
          <w:ilvl w:val="0"/>
          <w:numId w:val="3"/>
        </w:numPr>
      </w:pPr>
      <w:r>
        <w:t xml:space="preserve">Optional: telefonische oder persönliche Vorbesprechung mit dem VA-Team (Betreuung je nach Bedarf) </w:t>
      </w:r>
      <w:r/>
    </w:p>
    <w:p>
      <w:pPr>
        <w:pStyle w:val="816"/>
        <w:numPr>
          <w:ilvl w:val="0"/>
          <w:numId w:val="3"/>
        </w:numPr>
      </w:pPr>
      <w:r>
        <w:t xml:space="preserve">Optional: Drehbuch oder Konzept für das Lehrvideo anfertigen oder  vorhand</w:t>
      </w:r>
      <w:r>
        <w:t xml:space="preserve">enes Drehbuch modifizieren; alternativ kann das Video- und Animations-Team nach Erhalt der essentiellen Inhalte ein Drehbuch anfertigen </w:t>
      </w:r>
      <w:r/>
    </w:p>
    <w:p>
      <w:pPr>
        <w:pStyle w:val="816"/>
        <w:numPr>
          <w:ilvl w:val="0"/>
          <w:numId w:val="3"/>
        </w:numPr>
      </w:pPr>
      <w:r/>
      <w:r>
        <w:t xml:space="preserve">Möchte ich frei sprechen oder möchte ich den Teleprompter nutzen? Falls Sie den Teleprompter nutzen möchten, gilt es hier noch einen</w:t>
      </w:r>
      <w:r>
        <w:t xml:space="preserve"> Sprechtext anzufertigen. </w:t>
      </w:r>
      <w:r/>
    </w:p>
    <w:p>
      <w:pPr>
        <w:pStyle w:val="816"/>
        <w:numPr>
          <w:ilvl w:val="0"/>
          <w:numId w:val="3"/>
        </w:numPr>
      </w:pPr>
      <w:r/>
      <w:r>
        <w:t xml:space="preserve">Am Drehtag: Einfach so wie bei einer regulären Lehrveranstaltungseinheit  erscheinen.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Tipps: </w:t>
      </w:r>
      <w:r/>
      <w:hyperlink r:id="rId14" w:tooltip="Link zum Lernvideo-Canvas" w:history="1">
        <w:r>
          <w:rPr>
            <w:rStyle w:val="794"/>
          </w:rPr>
          <w:t xml:space="preserve">Hier </w:t>
        </w:r>
      </w:hyperlink>
      <w:r>
        <w:t xml:space="preserve">finden Sie eine Vorlage, die Ihnen hilfreiche Tipps zu Ihrem Lernvideo gibt und ganz einfach auszufüllen ist. Schauen Sie doch auch im TeachCenter-Kurs der TELucation Mappe vorbei – dort finden Sie eine Vorlage für Ihr Lernvideo-Drehbuch zum Downloade</w:t>
      </w:r>
      <w:r>
        <w:t xml:space="preserve">n. </w:t>
      </w:r>
      <w:r>
        <w:rPr>
          <w:highlight w:val="none"/>
        </w:rPr>
      </w:r>
      <w:r>
        <w:rPr>
          <w:highlight w:val="none"/>
        </w:rPr>
      </w:r>
    </w:p>
    <w:p>
      <w:pPr>
        <w:pStyle w:val="638"/>
      </w:pPr>
      <w:r>
        <w:rPr>
          <w:highlight w:val="none"/>
        </w:rPr>
      </w:r>
      <w:r>
        <w:t xml:space="preserve">Alternativen zur Nutzung des Studios für Lehrpersonen </w:t>
      </w:r>
      <w:r/>
    </w:p>
    <w:p>
      <w:pPr>
        <w:pStyle w:val="816"/>
        <w:numPr>
          <w:ilvl w:val="0"/>
          <w:numId w:val="2"/>
        </w:numPr>
      </w:pPr>
      <w:r/>
      <w:r>
        <w:t xml:space="preserve">Live-Streaming von Vorträgen aus dem Studio in Hörsäle/ Konferenzsäle in die ganze Welt – dies braucht intensivere Vorbereitungen im Studio und eine Stellprobe ist zu empfehlen</w:t>
      </w:r>
      <w:r/>
    </w:p>
    <w:p>
      <w:pPr>
        <w:pStyle w:val="816"/>
        <w:numPr>
          <w:ilvl w:val="0"/>
          <w:numId w:val="2"/>
        </w:numPr>
      </w:pPr>
      <w:r>
        <w:t xml:space="preserve">Falls jemand einen b</w:t>
      </w:r>
      <w:r>
        <w:t xml:space="preserve">ereits existenten Videoinhalt hat und diesen vertonen möchte, bietet das Video- und Animations-Team auch die Möglichkeit einer Audio-Aufnahme im Studio an </w:t>
      </w:r>
      <w:r/>
    </w:p>
    <w:p>
      <w:pPr>
        <w:pStyle w:val="638"/>
      </w:pPr>
      <w:r>
        <w:rPr>
          <w:highlight w:val="none"/>
        </w:rPr>
      </w:r>
      <w:r>
        <w:t xml:space="preserve">Auf wen Sie sich im Studio freuen können &amp; wer sich auf Sie freut... </w:t>
      </w:r>
      <w:r>
        <w:rPr>
          <w:highlight w:val="none"/>
        </w:rPr>
      </w:r>
      <w:r>
        <w:rPr>
          <w:highlight w:val="none"/>
        </w:rPr>
      </w:r>
    </w:p>
    <w:p>
      <w:pPr>
        <w:pStyle w:val="816"/>
        <w:numPr>
          <w:ilvl w:val="0"/>
          <w:numId w:val="5"/>
        </w:numPr>
      </w:pPr>
      <w:r>
        <w:rPr>
          <w:highlight w:val="none"/>
        </w:rPr>
      </w:r>
      <w:r>
        <w:rPr>
          <w:highlight w:val="none"/>
        </w:rPr>
      </w:r>
      <w:r>
        <w:t xml:space="preserve">Audio- und Videoaufnahme: </w:t>
      </w:r>
      <w:r/>
      <w:r/>
      <w:r>
        <w:t xml:space="preserve">Alek, </w:t>
      </w:r>
      <w:r>
        <w:t xml:space="preserve">Antonia, Daniel, Martin, Matt, Stefan</w:t>
      </w:r>
      <w:r/>
    </w:p>
    <w:p>
      <w:pPr>
        <w:pStyle w:val="816"/>
        <w:numPr>
          <w:ilvl w:val="0"/>
          <w:numId w:val="5"/>
        </w:numPr>
      </w:pPr>
      <w:r>
        <w:t xml:space="preserve">Grafikdesign: Eva </w:t>
      </w:r>
      <w:r/>
    </w:p>
    <w:p>
      <w:pPr>
        <w:pStyle w:val="816"/>
        <w:numPr>
          <w:ilvl w:val="0"/>
          <w:numId w:val="5"/>
        </w:numPr>
      </w:pPr>
      <w:r>
        <w:t xml:space="preserve">Auftrittscoaching: Martin, Matt </w:t>
      </w:r>
      <w:r/>
      <w:r/>
    </w:p>
    <w:p>
      <w:pPr>
        <w:pStyle w:val="816"/>
        <w:numPr>
          <w:ilvl w:val="0"/>
          <w:numId w:val="5"/>
        </w:numPr>
      </w:pPr>
      <w:r>
        <w:t xml:space="preserve">Administration: Antonis &amp; Ypatios</w:t>
      </w:r>
      <w:r>
        <w:rPr>
          <w:highlight w:val="none"/>
        </w:rPr>
      </w:r>
      <w:r>
        <w:rPr>
          <w:highlight w:val="none"/>
        </w:rPr>
      </w:r>
      <w:r/>
      <w:r/>
    </w:p>
    <w:p>
      <w:pPr>
        <w:pStyle w:val="638"/>
      </w:pPr>
      <w:r>
        <w:rPr>
          <w:highlight w:val="none"/>
        </w:rPr>
        <w:t xml:space="preserve">Kontaktinformationen</w:t>
      </w:r>
      <w:r/>
      <w:r/>
    </w:p>
    <w:p>
      <w:r/>
      <w:r>
        <w:t xml:space="preserve">Für weitere Informationen sowie für die Buchung des L L T-Studios kontaktieren Sie bitte das </w:t>
      </w:r>
      <w:hyperlink r:id="rId15" w:tooltip="E-Mail des Video- und Animations-Team" w:history="1">
        <w:r>
          <w:rPr>
            <w:rStyle w:val="794"/>
          </w:rPr>
          <w:t xml:space="preserve">Video- und Animations-Team</w:t>
        </w:r>
      </w:hyperlink>
      <w:r>
        <w:t xml:space="preserve">.</w:t>
      </w:r>
      <w:r/>
      <w:r/>
    </w:p>
    <w:p>
      <w:pPr>
        <w:pStyle w:val="638"/>
      </w:pPr>
      <w:r>
        <w:rPr>
          <w:highlight w:val="none"/>
        </w:rPr>
      </w:r>
      <w:r>
        <w:rPr>
          <w:highlight w:val="none"/>
        </w:rPr>
        <w:t xml:space="preserve">Sticker zum Beitrag </w:t>
      </w:r>
      <w:r>
        <w:rPr>
          <w:highlight w:val="none"/>
        </w:rPr>
      </w:r>
    </w:p>
    <w:p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88092" cy="2037189"/>
                <wp:effectExtent l="0" t="0" r="0" b="0"/>
                <wp:docPr id="2" name="" hidden="false" title="Sticker zum Beitrag: eine Person, die vor einem Greenscreen steht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 title="Sticker zum Beitrag: eine Person, die vor einem Greenscreen steht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rot="0" flipH="0" flipV="0">
                          <a:off x="0" y="0"/>
                          <a:ext cx="2188091" cy="2037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72.3pt;height:160.4pt;rotation:0;" stroked="false">
                <v:path textboxrect="0,0,0,0"/>
                <v:imagedata r:id="rId16" o:title=""/>
              </v:shape>
            </w:pict>
          </mc:Fallback>
        </mc:AlternateContent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2"/>
    <w:next w:val="812"/>
    <w:link w:val="639"/>
    <w:qFormat/>
    <w:uiPriority w:val="9"/>
    <w:unhideWhenUsed/>
    <w:rPr>
      <w:rFonts w:ascii="Arial" w:hAnsi="Arial" w:cs="Arial" w:eastAsia="Arial"/>
      <w:b/>
      <w:sz w:val="34"/>
    </w:rPr>
    <w:pPr>
      <w:keepLines/>
      <w:keepNext/>
      <w:spacing w:after="200" w:before="360"/>
      <w:outlineLvl w:val="2"/>
    </w:pPr>
  </w:style>
  <w:style w:type="character" w:styleId="639">
    <w:name w:val="Heading 2 Char"/>
    <w:link w:val="638"/>
    <w:uiPriority w:val="9"/>
    <w:rPr>
      <w:b/>
    </w:rPr>
  </w:style>
  <w:style w:type="paragraph" w:styleId="640">
    <w:name w:val="Heading 3"/>
    <w:basedOn w:val="812"/>
    <w:next w:val="812"/>
    <w:link w:val="641"/>
    <w:qFormat/>
    <w:uiPriority w:val="9"/>
    <w:unhideWhenUsed/>
    <w:rPr>
      <w:rFonts w:ascii="Arial" w:hAnsi="Arial" w:cs="Arial" w:eastAsia="Arial"/>
      <w:b/>
      <w:sz w:val="30"/>
      <w:szCs w:val="30"/>
    </w:rPr>
    <w:pPr>
      <w:keepLines/>
      <w:keepNext/>
      <w:spacing w:after="200" w:before="320"/>
      <w:outlineLvl w:val="4"/>
    </w:pPr>
  </w:style>
  <w:style w:type="character" w:styleId="641">
    <w:name w:val="Heading 3 Char"/>
    <w:link w:val="640"/>
    <w:uiPriority w:val="9"/>
    <w:rPr>
      <w:b/>
    </w:rPr>
  </w:style>
  <w:style w:type="paragraph" w:styleId="642">
    <w:name w:val="Heading 4"/>
    <w:basedOn w:val="812"/>
    <w:next w:val="812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qFormat/>
    <w:uiPriority w:val="11"/>
    <w:rPr>
      <w:sz w:val="24"/>
      <w:szCs w:val="24"/>
    </w:rPr>
    <w:pPr>
      <w:spacing w:after="200" w:before="200"/>
    </w:p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qFormat/>
    <w:uiPriority w:val="29"/>
    <w:rPr>
      <w:i/>
    </w:rPr>
    <w:pPr>
      <w:ind w:left="720" w:right="720"/>
    </w:p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7">
    <w:name w:val="Grid Table 4 - Accent 1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8">
    <w:name w:val="Grid Table 4 - Accent 2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9">
    <w:name w:val="Grid Table 4 - Accent 3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0">
    <w:name w:val="Grid Table 4 - Accent 4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1">
    <w:name w:val="Grid Table 4 - Accent 5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2">
    <w:name w:val="Grid Table 4 - Accent 6"/>
    <w:basedOn w:val="81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3">
    <w:name w:val="Grid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4">
    <w:name w:val="Grid Table 5 Dark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5">
    <w:name w:val="Grid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0">
    <w:name w:val="Grid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2">
    <w:name w:val="List Table 2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3">
    <w:name w:val="List Table 2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4">
    <w:name w:val="List Table 2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5">
    <w:name w:val="List Table 2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6">
    <w:name w:val="List Table 2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7">
    <w:name w:val="List Table 2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8">
    <w:name w:val="List Table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0">
    <w:name w:val="List Table 6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1">
    <w:name w:val="List Table 6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2">
    <w:name w:val="List Table 6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3">
    <w:name w:val="List Table 6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4">
    <w:name w:val="List Table 6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5">
    <w:name w:val="List Table 6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6">
    <w:name w:val="List Table 7 Colorful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4">
    <w:name w:val="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5">
    <w:name w:val="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6">
    <w:name w:val="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7">
    <w:name w:val="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78">
    <w:name w:val="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79">
    <w:name w:val="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0">
    <w:name w:val="Bordered &amp; Lined - Accent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1">
    <w:name w:val="Bordered &amp; Lined - Accent 1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2">
    <w:name w:val="Bordered &amp; Lined - Accent 2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3">
    <w:name w:val="Bordered &amp; Lined - Accent 3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4">
    <w:name w:val="Bordered &amp; Lined - Accent 4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5">
    <w:name w:val="Bordered &amp; Lined - Accent 5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6">
    <w:name w:val="Bordered &amp; Lined - Accent 6"/>
    <w:basedOn w:val="81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7">
    <w:name w:val="Bordered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8">
    <w:name w:val="Bordered - Accent 1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9">
    <w:name w:val="Bordered - Accent 2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0">
    <w:name w:val="Bordered - Accent 3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1">
    <w:name w:val="Bordered - Accent 4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2">
    <w:name w:val="Bordered - Accent 5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3">
    <w:name w:val="Bordered - Accent 6"/>
    <w:basedOn w:val="81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rPr>
      <w:sz w:val="18"/>
    </w:rPr>
    <w:pPr>
      <w:spacing w:lineRule="auto" w:line="240" w:after="40"/>
    </w:p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rPr>
      <w:sz w:val="20"/>
    </w:rPr>
    <w:pPr>
      <w:spacing w:lineRule="auto" w:line="240" w:after="0"/>
    </w:p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  <w:rPr>
      <w:sz w:val="24"/>
    </w:rPr>
    <w:pPr>
      <w:contextualSpacing w:val="false"/>
      <w:jc w:val="left"/>
      <w:spacing w:lineRule="auto" w:line="276" w:after="200" w:before="198"/>
      <w:suppressLineNumbers w:val="0"/>
    </w:pPr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qFormat/>
    <w:uiPriority w:val="1"/>
    <w:pPr>
      <w:spacing w:lineRule="auto" w:line="240" w:after="0"/>
    </w:pPr>
  </w:style>
  <w:style w:type="paragraph" w:styleId="816">
    <w:name w:val="List Paragraph"/>
    <w:basedOn w:val="812"/>
    <w:qFormat/>
    <w:uiPriority w:val="34"/>
    <w:pPr>
      <w:contextualSpacing w:val="true"/>
      <w:ind w:left="720"/>
    </w:pPr>
  </w:style>
  <w:style w:type="character" w:styleId="81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creativecommons.org/licenses/by-sa/4.0/deed.de" TargetMode="External"/><Relationship Id="rId11" Type="http://schemas.openxmlformats.org/officeDocument/2006/relationships/hyperlink" Target="https://tube.tugraz.at/paella/ui/watch.html?id=b59e2dcc-eea8-4863-aa72-f128ce8ae610" TargetMode="External"/><Relationship Id="rId12" Type="http://schemas.openxmlformats.org/officeDocument/2006/relationships/image" Target="media/image1.png"/><Relationship Id="rId13" Type="http://schemas.openxmlformats.org/officeDocument/2006/relationships/hyperlink" Target="mailto:va@tugraz.at" TargetMode="External"/><Relationship Id="rId14" Type="http://schemas.openxmlformats.org/officeDocument/2006/relationships/hyperlink" Target="https://www.medienpaedagogik-praxis.de/wp-content/uploads/2016/07/lernvideo-canvas.pdf" TargetMode="External"/><Relationship Id="rId15" Type="http://schemas.openxmlformats.org/officeDocument/2006/relationships/hyperlink" Target="mailto:va@tugraz.at" TargetMode="External"/><Relationship Id="rId16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&amp; Animation #02 Videoproduktion im L L T-Studio der T U Graz</dc:title>
  <dc:subject/>
  <dc:creator>Ypatios Grigoriadis;Video- und Animationsteam</dc:creator>
  <dc:description/>
  <cp:lastModifiedBy>Gasplmayr, Katharina (katharina.gasplmayr@tugraz.at)</cp:lastModifiedBy>
  <cp:revision>4</cp:revision>
  <dcterms:modified xsi:type="dcterms:W3CDTF">2021-07-23T08:24:02Z</dcterms:modified>
</cp:coreProperties>
</file>