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46"/>
        <w:pBdr>
          <w:left w:val="none" w:color="000000" w:sz="4" w:space="0"/>
          <w:top w:val="none" w:color="000000" w:sz="4" w:space="0"/>
          <w:right w:val="none" w:color="000000" w:sz="4" w:space="0"/>
          <w:bottom w:val="none" w:color="000000" w:sz="4" w:space="0"/>
        </w:pBdr>
        <w:outlineLvl w:val="1"/>
      </w:pPr>
      <w:r>
        <w:t xml:space="preserve">TeachCenter #</w:t>
      </w:r>
      <w:r>
        <w:t xml:space="preserve">02 Similarity</w:t>
      </w:r>
      <w:r>
        <w:t xml:space="preserve"> Check TeachCenter: Plagiatsprüfung im T U Graz TeachCenter</w:t>
      </w:r>
      <w:r/>
    </w:p>
    <w:tbl>
      <w:tblPr>
        <w:tblStyle w:val="680"/>
        <w:tblW w:w="0" w:type="auto"/>
        <w:tblLook w:val="0480" w:firstRow="0" w:lastRow="0" w:firstColumn="1" w:lastColumn="0" w:noHBand="0" w:noVBand="1"/>
      </w:tblPr>
      <w:tblGrid>
        <w:gridCol w:w="4677"/>
        <w:gridCol w:w="4677"/>
      </w:tblGrid>
      <w:tr>
        <w:trPr/>
        <w:tc>
          <w:tcPr>
            <w:tcW w:w="4677" w:type="dxa"/>
            <w:textDirection w:val="lrTb"/>
            <w:noWrap w:val="false"/>
          </w:tcPr>
          <w:p>
            <w:pPr>
              <w:spacing w:after="198" w:afterAutospacing="0" w:before="200" w:beforeAutospacing="0"/>
              <w:rPr>
                <w:color w:val="000000"/>
                <w:sz w:val="24"/>
              </w:rPr>
              <w:outlineLvl w:val="0"/>
              <w:suppressLineNumbers w:val="0"/>
            </w:pPr>
            <w:r>
              <w:rPr>
                <w:color w:val="000000" w:themeColor="text1"/>
                <w:sz w:val="24"/>
              </w:rPr>
            </w:r>
            <w:r>
              <w:rPr>
                <w:color w:val="000000" w:themeColor="text1"/>
                <w:sz w:val="24"/>
              </w:rPr>
              <w:t xml:space="preserve"> </w:t>
            </w:r>
            <w:r>
              <w:rPr>
                <w:color w:val="000000" w:themeColor="text1"/>
                <w:sz w:val="24"/>
              </w:rPr>
              <w:t xml:space="preserve">Autor:innen </w:t>
            </w:r>
            <w:r>
              <w:rPr>
                <w:color w:val="000000" w:themeColor="text1"/>
                <w:sz w:val="24"/>
              </w:rPr>
            </w:r>
            <w:r/>
          </w:p>
        </w:tc>
        <w:tc>
          <w:tcPr>
            <w:tcW w:w="4677" w:type="dxa"/>
            <w:textDirection w:val="lrTb"/>
            <w:noWrap w:val="false"/>
          </w:tcPr>
          <w:p>
            <w:pPr>
              <w:contextualSpacing w:val="false"/>
              <w:jc w:val="left"/>
              <w:spacing w:lineRule="auto" w:line="276" w:after="200" w:afterAutospacing="0" w:before="200" w:beforeAutospacing="0"/>
              <w:shd w:val="clear" w:fill="auto" w:color="auto"/>
              <w:rPr>
                <w:sz w:val="24"/>
              </w:rPr>
              <w:suppressLineNumbers w:val="0"/>
            </w:pPr>
            <w:r>
              <w:rPr>
                <w:sz w:val="24"/>
              </w:rPr>
            </w:r>
            <w:r>
              <w:rPr>
                <w:sz w:val="24"/>
              </w:rPr>
              <w:t xml:space="preserve">Elisabeth Grün, Katharina Hohla</w:t>
            </w:r>
            <w:r>
              <w:rPr>
                <w:sz w:val="24"/>
              </w:rPr>
            </w:r>
            <w:r/>
          </w:p>
        </w:tc>
      </w:tr>
      <w:tr>
        <w:trPr/>
        <w:tc>
          <w:tcPr>
            <w:tcW w:w="4677" w:type="dxa"/>
            <w:textDirection w:val="lrTb"/>
            <w:noWrap w:val="false"/>
          </w:tcPr>
          <w:p>
            <w:pPr>
              <w:spacing w:after="198" w:afterAutospacing="0" w:before="200" w:beforeAutospacing="0"/>
              <w:rPr>
                <w:color w:val="000000"/>
                <w:sz w:val="24"/>
              </w:rPr>
              <w:suppressLineNumbers w:val="0"/>
            </w:pPr>
            <w:r>
              <w:rPr>
                <w:color w:val="000000" w:themeColor="text1"/>
                <w:sz w:val="24"/>
              </w:rPr>
              <w:t xml:space="preserve">Veröffentlichung</w:t>
            </w:r>
            <w:r>
              <w:rPr>
                <w:color w:val="000000" w:themeColor="text1"/>
                <w:sz w:val="24"/>
              </w:rPr>
            </w:r>
            <w:r/>
          </w:p>
        </w:tc>
        <w:tc>
          <w:tcPr>
            <w:tcW w:w="4677" w:type="dxa"/>
            <w:textDirection w:val="lrTb"/>
            <w:noWrap w:val="false"/>
          </w:tcPr>
          <w:p>
            <w:pPr>
              <w:contextualSpacing w:val="false"/>
              <w:jc w:val="left"/>
              <w:spacing w:lineRule="auto" w:line="276" w:after="200" w:afterAutospacing="0" w:before="200" w:beforeAutospacing="0"/>
              <w:shd w:val="clear" w:fill="auto" w:color="auto"/>
              <w:suppressLineNumbers w:val="0"/>
            </w:pPr>
            <w:r>
              <w:rPr>
                <w:sz w:val="24"/>
              </w:rPr>
            </w:r>
            <w:r>
              <w:rPr>
                <w:sz w:val="24"/>
              </w:rPr>
              <w:t xml:space="preserve">November</w:t>
            </w:r>
            <w:r>
              <w:rPr>
                <w:sz w:val="24"/>
              </w:rPr>
              <w:t xml:space="preserve"> 2019 </w:t>
            </w:r>
            <w:r/>
          </w:p>
        </w:tc>
      </w:tr>
      <w:tr>
        <w:trPr/>
        <w:tc>
          <w:tcPr>
            <w:tcW w:w="4677" w:type="dxa"/>
            <w:textDirection w:val="lrTb"/>
            <w:noWrap w:val="false"/>
          </w:tcPr>
          <w:p>
            <w:pPr>
              <w:spacing w:after="198" w:afterAutospacing="0" w:before="200" w:beforeAutospacing="0"/>
              <w:rPr>
                <w:color w:val="000000"/>
                <w:sz w:val="24"/>
              </w:rPr>
              <w:suppressLineNumbers w:val="0"/>
            </w:pPr>
            <w:r>
              <w:rPr>
                <w:color w:val="000000" w:themeColor="text1"/>
                <w:sz w:val="24"/>
              </w:rPr>
              <w:t xml:space="preserve">Lizenz</w:t>
            </w:r>
            <w:r>
              <w:rPr>
                <w:color w:val="000000" w:themeColor="text1"/>
                <w:sz w:val="24"/>
              </w:rPr>
            </w:r>
            <w:r/>
          </w:p>
        </w:tc>
        <w:tc>
          <w:tcPr>
            <w:tcW w:w="4677" w:type="dxa"/>
            <w:textDirection w:val="lrTb"/>
            <w:noWrap w:val="false"/>
          </w:tcPr>
          <w:p>
            <w:pPr>
              <w:contextualSpacing w:val="false"/>
              <w:ind w:left="0" w:right="0" w:firstLine="0"/>
              <w:jc w:val="left"/>
              <w:spacing w:lineRule="auto" w:line="276" w:after="200" w:afterAutospacing="0" w:before="200" w:beforeAutospacing="0"/>
              <w:shd w:val="clear" w:fill="auto" w:color="auto"/>
              <w:pBdr>
                <w:left w:val="none" w:color="000000" w:sz="4" w:space="0"/>
                <w:top w:val="none" w:color="000000" w:sz="4" w:space="0"/>
                <w:right w:val="none" w:color="000000" w:sz="4" w:space="0"/>
                <w:bottom w:val="none" w:color="000000" w:sz="4" w:space="0"/>
              </w:pBdr>
              <w:suppressLineNumbers w:val="0"/>
            </w:pPr>
            <w:r>
              <w:rPr>
                <w:sz w:val="24"/>
              </w:rPr>
              <w:t xml:space="preserve">Lizenziert unter der </w:t>
            </w:r>
            <w:r>
              <w:rPr>
                <w:sz w:val="24"/>
              </w:rPr>
            </w:r>
            <w:hyperlink r:id="rId11" w:tooltip="CC BY-SA 4.0" w:history="1">
              <w:r>
                <w:rPr>
                  <w:rStyle w:val="804"/>
                  <w:sz w:val="24"/>
                </w:rPr>
                <w:t xml:space="preserve">Creative-Commons-Lizenz CC BY-SA 4.0</w:t>
              </w:r>
            </w:hyperlink>
            <w:r>
              <w:rPr>
                <w:sz w:val="24"/>
              </w:rPr>
              <w:t xml:space="preserve">.</w:t>
            </w:r>
            <w:r>
              <w:rPr>
                <w:sz w:val="24"/>
              </w:rPr>
            </w:r>
            <w:r/>
          </w:p>
        </w:tc>
      </w:tr>
    </w:tbl>
    <w:p>
      <w:pPr>
        <w:contextualSpacing w:val="false"/>
        <w:ind w:left="0" w:right="0" w:firstLine="0"/>
        <w:jc w:val="left"/>
        <w:spacing w:lineRule="auto" w:line="276" w:after="198" w:before="200"/>
        <w:shd w:val="clear" w:color="FFFFFF" w:fill="FFFFFF"/>
        <w:rPr>
          <w:sz w:val="24"/>
        </w:rPr>
        <w:pBdr>
          <w:left w:val="none" w:color="000000" w:sz="4" w:space="0"/>
          <w:top w:val="none" w:color="000000" w:sz="4" w:space="0"/>
          <w:right w:val="none" w:color="000000" w:sz="4" w:space="0"/>
          <w:bottom w:val="none" w:color="000000" w:sz="4" w:space="0"/>
        </w:pBdr>
        <w:suppressLineNumbers w:val="0"/>
      </w:pPr>
      <w:r>
        <w:rPr>
          <w:sz w:val="24"/>
        </w:rPr>
        <w:t xml:space="preserve">B</w:t>
      </w:r>
      <w:r>
        <w:rPr>
          <w:sz w:val="24"/>
        </w:rPr>
        <w:t xml:space="preserve">eginnend mit 1. November 2019 findet die Plagiatsprüfung nun im T U Graz TeachCenter statt. Für die Überprüfung von schriftlichen Arbeiten muss unterschieden werden, ob es sich dabei um wissenschaftliche Abschlussarbeiten handelt oder ob es sonstige schrif</w:t>
      </w:r>
      <w:r>
        <w:rPr>
          <w:sz w:val="24"/>
        </w:rPr>
        <w:t xml:space="preserve">tliche Arbeiten betrifft, die im Rahmen einer Lehrveranstaltung entstanden sind.</w:t>
      </w:r>
      <w:r>
        <w:rPr>
          <w:sz w:val="24"/>
        </w:rPr>
      </w:r>
      <w:r/>
    </w:p>
    <w:p>
      <w:pPr>
        <w:pStyle w:val="648"/>
        <w:suppressLineNumbers w:val="0"/>
      </w:pPr>
      <w:r>
        <w:t xml:space="preserve">Überprüfung von wissenschaftlichen Abschlussarbeiten</w:t>
      </w:r>
      <w:r/>
    </w:p>
    <w:p>
      <w:pPr>
        <w:contextualSpacing w:val="false"/>
        <w:ind w:left="0" w:right="0" w:firstLine="0"/>
        <w:jc w:val="left"/>
        <w:spacing w:lineRule="auto" w:line="276" w:after="198" w:before="200"/>
        <w:shd w:val="clear" w:color="FFFFFF" w:fill="FFFFFF"/>
        <w:rPr>
          <w:sz w:val="24"/>
          <w:highlight w:val="none"/>
        </w:rPr>
        <w:pBdr>
          <w:left w:val="none" w:color="000000" w:sz="4" w:space="0"/>
          <w:top w:val="none" w:color="000000" w:sz="4" w:space="0"/>
          <w:right w:val="none" w:color="000000" w:sz="4" w:space="0"/>
          <w:bottom w:val="none" w:color="000000" w:sz="4" w:space="0"/>
        </w:pBdr>
        <w:suppressLineNumbers w:val="0"/>
      </w:pPr>
      <w:r>
        <w:rPr>
          <w:sz w:val="24"/>
        </w:rPr>
      </w:r>
      <w:r>
        <w:rPr>
          <w:sz w:val="24"/>
        </w:rPr>
        <w:t xml:space="preserve">Der</w:t>
      </w:r>
      <w:r>
        <w:rPr>
          <w:sz w:val="24"/>
        </w:rPr>
        <w:t xml:space="preserve"> Similarity Check für wissenschaftliche Arbeiten wie Masterarbeiten, Diplomarbeiten und Dissertationen ist an der T U Graz den Plagiats-beauftragten vorbehalten, welche von dem:der T U GRAZonline-Beauftragten des Instituts eingetragen werden. Pro Institut </w:t>
      </w:r>
      <w:r>
        <w:rPr>
          <w:sz w:val="24"/>
        </w:rPr>
        <w:t xml:space="preserve">k</w:t>
      </w:r>
      <w:r>
        <w:rPr>
          <w:sz w:val="24"/>
        </w:rPr>
        <w:t xml:space="preserve">ann die Funktion als Plagiatsbeauftragte:r nur für eine Person eingerichtet werden. Die Plagiatsbeauftragten finden im T U Graz TeachCenter nach dem Einloggen am Dashboard den Kurs „Similarity Check“, in dem sich für jede:n Plagiatsbeauftragte:n eine eigen</w:t>
      </w:r>
      <w:r>
        <w:rPr>
          <w:sz w:val="24"/>
        </w:rPr>
        <w:t xml:space="preserve">e Abgabe-Aktivität befindet.</w:t>
      </w:r>
      <w:r>
        <w:rPr>
          <w:sz w:val="24"/>
        </w:rPr>
      </w:r>
      <w:r/>
    </w:p>
    <w:p>
      <w:pPr>
        <w:contextualSpacing w:val="false"/>
        <w:ind w:left="0" w:right="0" w:firstLine="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Sie sind Plagiatsbeauftragte:r und wollen eine Abschlussarbeit überprüfen?</w:t>
      </w:r>
      <w:r>
        <w:rPr>
          <w:sz w:val="24"/>
        </w:rPr>
      </w:r>
      <w:r/>
    </w:p>
    <w:p>
      <w:pPr>
        <w:pStyle w:val="826"/>
        <w:numPr>
          <w:ilvl w:val="0"/>
          <w:numId w:val="1"/>
        </w:numPr>
        <w:contextualSpacing w:val="false"/>
        <w:ind w:right="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Klicken Sie auf die Aktivität Similaritätsprüfung.</w:t>
      </w:r>
      <w:r>
        <w:rPr>
          <w:sz w:val="24"/>
        </w:rPr>
      </w:r>
      <w:r/>
    </w:p>
    <w:p>
      <w:pPr>
        <w:pStyle w:val="826"/>
        <w:numPr>
          <w:ilvl w:val="0"/>
          <w:numId w:val="1"/>
        </w:numPr>
        <w:contextualSpacing w:val="false"/>
        <w:ind w:right="0"/>
        <w:jc w:val="left"/>
        <w:spacing w:lineRule="auto" w:line="276" w:after="198" w:before="200"/>
        <w:shd w:val="clear" w:color="FFFFFF" w:fill="FFFFFF"/>
        <w:rPr>
          <w:sz w:val="24"/>
          <w:highlight w:val="none"/>
        </w:rPr>
        <w:pBdr>
          <w:left w:val="none" w:color="000000" w:sz="4" w:space="0"/>
          <w:top w:val="none" w:color="000000" w:sz="4" w:space="0"/>
          <w:right w:val="none" w:color="000000" w:sz="4" w:space="0"/>
          <w:bottom w:val="none" w:color="000000" w:sz="4" w:space="0"/>
        </w:pBdr>
        <w:suppressLineNumbers w:val="0"/>
      </w:pPr>
      <w:r>
        <w:rPr>
          <w:sz w:val="24"/>
        </w:rPr>
        <w:t xml:space="preserve">Klicken Sie auf Abgabe hinzufügen.</w:t>
      </w:r>
      <w:r/>
    </w:p>
    <w:p>
      <w:pPr>
        <w:pStyle w:val="826"/>
        <w:numPr>
          <w:ilvl w:val="0"/>
          <w:numId w:val="1"/>
        </w:numPr>
        <w:contextualSpacing w:val="false"/>
        <w:ind w:right="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Akzeptieren Sie beim ersten Zugriff den Turnitin-Endbenutzer-Lizenzvertrag (E U L A) und laden Sie die zu prüfende Datei hoch. Dies geht am schnellsten, indem Sie die Datei mittels Drag-and-drop in das Feld mit dem blauen Pfeil ziehen.</w:t>
      </w:r>
      <w:r>
        <w:rPr>
          <w:sz w:val="24"/>
        </w:rPr>
      </w:r>
      <w:r/>
    </w:p>
    <w:p>
      <w:pPr>
        <w:pStyle w:val="826"/>
        <w:numPr>
          <w:ilvl w:val="0"/>
          <w:numId w:val="1"/>
        </w:numPr>
        <w:contextualSpacing w:val="false"/>
        <w:ind w:right="0"/>
        <w:jc w:val="left"/>
        <w:spacing w:lineRule="auto" w:line="276" w:after="198" w:before="200"/>
        <w:shd w:val="clear" w:color="FFFFFF" w:fill="FFFFFF"/>
        <w:rPr>
          <w:sz w:val="24"/>
          <w:highlight w:val="none"/>
        </w:rPr>
        <w:pBdr>
          <w:left w:val="none" w:color="000000" w:sz="4" w:space="0"/>
          <w:top w:val="none" w:color="000000" w:sz="4" w:space="0"/>
          <w:right w:val="none" w:color="000000" w:sz="4" w:space="0"/>
          <w:bottom w:val="none" w:color="000000" w:sz="4" w:space="0"/>
        </w:pBdr>
      </w:pPr>
      <w:r>
        <w:rPr>
          <w:sz w:val="24"/>
        </w:rPr>
        <w:t xml:space="preserve">Sobald Sie das Dokume</w:t>
      </w:r>
      <w:r>
        <w:rPr>
          <w:sz w:val="24"/>
        </w:rPr>
        <w:t xml:space="preserve">nt eingereicht haben, sehen </w:t>
      </w:r>
      <w:r>
        <w:rPr>
          <w:sz w:val="24"/>
        </w:rPr>
        <w:t xml:space="preserve">Sie den Status „In der Warteschlange“. Nach etwa 15 Minuten (je nach Länge des Textes) bekommen Sie das Ergebnis als Prozentzahl. Klicken Sie diese an und Sie erhalten den Bericht zum Similarity Check. Wie </w:t>
      </w:r>
      <w:r>
        <w:rPr>
          <w:sz w:val="24"/>
        </w:rPr>
        <w:t xml:space="preserve">dieser zu i</w:t>
      </w:r>
      <w:r>
        <w:rPr>
          <w:sz w:val="24"/>
        </w:rPr>
        <w:t xml:space="preserve">nterpretieren ist, finden Sie noch in diesem Beitrag. Eine automatische Benachrichtigung zum </w:t>
      </w:r>
      <w:r>
        <w:rPr>
          <w:sz w:val="24"/>
        </w:rPr>
        <w:t xml:space="preserve">bereitstehenden </w:t>
      </w:r>
      <w:r>
        <w:rPr>
          <w:sz w:val="24"/>
        </w:rPr>
        <w:t xml:space="preserve">Bericht ist nicht vorgesehen. Der Prüfbericht kann nun ausgedruckt werden.</w:t>
      </w:r>
      <w:r>
        <w:rPr>
          <w:sz w:val="24"/>
          <w:highlight w:val="none"/>
        </w:rPr>
      </w:r>
      <w:r/>
    </w:p>
    <w:p>
      <w:pPr>
        <w:contextualSpacing w:val="false"/>
        <w:ind w:left="0" w:right="0" w:firstLine="0"/>
        <w:jc w:val="left"/>
        <w:spacing w:lineRule="auto" w:line="276" w:after="198" w:before="200"/>
        <w:shd w:val="clear" w:color="FFFFFF" w:fill="FFFFFF"/>
        <w:rPr>
          <w:sz w:val="24"/>
          <w:highlight w:val="none"/>
        </w:rPr>
        <w:pBdr>
          <w:left w:val="none" w:color="000000" w:sz="4" w:space="0"/>
          <w:top w:val="none" w:color="000000" w:sz="4" w:space="0"/>
          <w:right w:val="none" w:color="000000" w:sz="4" w:space="0"/>
          <w:bottom w:val="none" w:color="000000" w:sz="4" w:space="0"/>
        </w:pBdr>
      </w:pPr>
      <w:r>
        <w:rPr>
          <w:sz w:val="24"/>
          <w:highlight w:val="none"/>
        </w:rPr>
      </w:r>
      <w:r>
        <w:rPr>
          <w:sz w:val="24"/>
        </w:rPr>
        <w:t xml:space="preserve">Weitere Infos zum Similarity Check finden Sie im Beitrag:</w:t>
      </w:r>
      <w:r>
        <w:rPr>
          <w:sz w:val="24"/>
        </w:rPr>
        <w:t xml:space="preserve"> </w:t>
      </w:r>
      <w:hyperlink r:id="rId12" w:tooltip="Link zu dem TELucation-Beitrag" w:history="1">
        <w:r>
          <w:rPr>
            <w:sz w:val="24"/>
          </w:rPr>
          <w:t xml:space="preserve">Similarity Check T U Graz</w:t>
        </w:r>
      </w:hyperlink>
      <w:r>
        <w:rPr>
          <w:sz w:val="24"/>
        </w:rPr>
        <w:t xml:space="preserve"> </w:t>
      </w:r>
      <w:r>
        <w:rPr>
          <w:sz w:val="24"/>
        </w:rPr>
        <w:t xml:space="preserve">in der Rubrik Hochschule.</w:t>
      </w:r>
      <w:r>
        <w:rPr>
          <w:sz w:val="24"/>
        </w:rPr>
      </w:r>
      <w:r/>
    </w:p>
    <w:p>
      <w:pPr>
        <w:pStyle w:val="648"/>
        <w:outlineLvl w:val="3"/>
      </w:pPr>
      <w:r>
        <w:t xml:space="preserve">Überprüfung von Bachelorarbeiten und sonstigen schriftlichen Arbeiten</w:t>
      </w:r>
      <w:r>
        <w:rPr>
          <w:highlight w:val="none"/>
        </w:rPr>
      </w:r>
      <w:r/>
    </w:p>
    <w:p>
      <w:pPr>
        <w:contextualSpacing w:val="false"/>
        <w:ind w:left="0" w:right="0" w:firstLine="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r>
      <w:r>
        <w:rPr>
          <w:sz w:val="24"/>
        </w:rPr>
        <w:t xml:space="preserve">Sie möchten schriftliche Arbeiten, welche im Rahmen einer Lehrveranstaltung </w:t>
      </w:r>
      <w:r>
        <w:rPr>
          <w:sz w:val="24"/>
        </w:rPr>
        <w:t xml:space="preserve">entstanden </w:t>
      </w:r>
      <w:r>
        <w:rPr>
          <w:sz w:val="24"/>
        </w:rPr>
        <w:t xml:space="preserve">sind, dem Similarity Check unterziehen?</w:t>
      </w:r>
      <w:r>
        <w:rPr>
          <w:sz w:val="24"/>
        </w:rPr>
      </w:r>
      <w:r/>
    </w:p>
    <w:p>
      <w:pPr>
        <w:pStyle w:val="826"/>
        <w:numPr>
          <w:ilvl w:val="0"/>
          <w:numId w:val="3"/>
        </w:numPr>
        <w:contextualSpacing w:val="false"/>
        <w:ind w:right="0"/>
        <w:jc w:val="left"/>
        <w:spacing w:lineRule="auto" w:line="276" w:after="198" w:before="200"/>
        <w:shd w:val="clear" w:color="FFFFFF" w:fill="FFFFFF"/>
        <w:rPr>
          <w:sz w:val="24"/>
        </w:rPr>
        <w:pBdr>
          <w:left w:val="none" w:color="000000" w:sz="4" w:space="0"/>
          <w:top w:val="none" w:color="000000" w:sz="4" w:space="0"/>
          <w:right w:val="none" w:color="000000" w:sz="4" w:space="0"/>
          <w:bottom w:val="none" w:color="000000" w:sz="4" w:space="0"/>
        </w:pBdr>
      </w:pPr>
      <w:r>
        <w:rPr>
          <w:sz w:val="24"/>
        </w:rPr>
      </w:r>
      <w:r>
        <w:rPr>
          <w:sz w:val="24"/>
        </w:rPr>
        <w:t xml:space="preserve">Erstelle</w:t>
      </w:r>
      <w:r>
        <w:rPr>
          <w:sz w:val="24"/>
        </w:rPr>
        <w:t xml:space="preserve">n Sie eine neu</w:t>
      </w:r>
      <w:r>
        <w:rPr>
          <w:sz w:val="24"/>
        </w:rPr>
        <w:t xml:space="preserve">e Aufgabe/Abgabe.</w:t>
      </w:r>
      <w:r/>
    </w:p>
    <w:p>
      <w:pPr>
        <w:pStyle w:val="826"/>
        <w:numPr>
          <w:ilvl w:val="0"/>
          <w:numId w:val="3"/>
        </w:numPr>
        <w:contextualSpacing w:val="false"/>
        <w:ind w:right="0"/>
        <w:jc w:val="left"/>
        <w:spacing w:lineRule="auto" w:line="276" w:after="198" w:before="200"/>
        <w:shd w:val="clear" w:color="FFFFFF" w:fill="FFFFFF"/>
        <w:rPr>
          <w:sz w:val="24"/>
          <w:highlight w:val="none"/>
        </w:rPr>
        <w:pBdr>
          <w:left w:val="none" w:color="000000" w:sz="4" w:space="0"/>
          <w:top w:val="none" w:color="000000" w:sz="4" w:space="0"/>
          <w:right w:val="none" w:color="000000" w:sz="4" w:space="0"/>
          <w:bottom w:val="none" w:color="000000" w:sz="4" w:space="0"/>
        </w:pBdr>
      </w:pPr>
      <w:r>
        <w:rPr>
          <w:sz w:val="24"/>
        </w:rPr>
        <w:t xml:space="preserve">Aktivieren Sie den Similarity Check, indem Sie unter dem Punkt „TurnitinCheck Plagiats-Plugin Einstellungen“ Turnitin aktivieren.</w:t>
      </w:r>
      <w:r>
        <w:rPr>
          <w:sz w:val="24"/>
        </w:rPr>
      </w:r>
      <w:r/>
    </w:p>
    <w:p>
      <w:pPr>
        <w:pStyle w:val="826"/>
        <w:numPr>
          <w:ilvl w:val="0"/>
          <w:numId w:val="3"/>
        </w:numPr>
        <w:contextualSpacing w:val="false"/>
        <w:ind w:right="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Sie können nun noch in den Einstellungen einige Details der </w:t>
      </w:r>
      <w:r>
        <w:rPr>
          <w:sz w:val="24"/>
        </w:rPr>
        <w:t xml:space="preserve">Überprüfung festlegen:</w:t>
      </w:r>
      <w:r>
        <w:rPr>
          <w:sz w:val="24"/>
        </w:rPr>
      </w:r>
      <w:r/>
    </w:p>
    <w:p>
      <w:pPr>
        <w:pStyle w:val="826"/>
        <w:numPr>
          <w:ilvl w:val="0"/>
          <w:numId w:val="4"/>
        </w:numPr>
        <w:contextualSpacing w:val="false"/>
        <w:ind w:right="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Ob Bibliographie und Zitate von der Prüfung ausgenommen sein sollen</w:t>
      </w:r>
      <w:r>
        <w:rPr>
          <w:sz w:val="24"/>
        </w:rPr>
      </w:r>
      <w:r/>
    </w:p>
    <w:p>
      <w:pPr>
        <w:pStyle w:val="826"/>
        <w:numPr>
          <w:ilvl w:val="0"/>
          <w:numId w:val="4"/>
        </w:numPr>
        <w:contextualSpacing w:val="false"/>
        <w:ind w:right="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Ob die Abgaben für zukünftige Überprüfungen als Quelle für Plagiate herangezogen werden sollen</w:t>
      </w:r>
      <w:r>
        <w:rPr>
          <w:sz w:val="24"/>
        </w:rPr>
      </w:r>
      <w:r/>
    </w:p>
    <w:p>
      <w:pPr>
        <w:pStyle w:val="826"/>
        <w:numPr>
          <w:ilvl w:val="0"/>
          <w:numId w:val="4"/>
        </w:numPr>
        <w:contextualSpacing w:val="false"/>
        <w:ind w:right="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Wann die Überprüfung stattfinden soll</w:t>
      </w:r>
      <w:r>
        <w:rPr>
          <w:sz w:val="24"/>
        </w:rPr>
      </w:r>
      <w:r/>
    </w:p>
    <w:p>
      <w:pPr>
        <w:pStyle w:val="826"/>
        <w:numPr>
          <w:ilvl w:val="0"/>
          <w:numId w:val="4"/>
        </w:numPr>
        <w:contextualSpacing w:val="false"/>
        <w:ind w:right="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Ob Studierende den Bericht einsehen können</w:t>
      </w:r>
      <w:r>
        <w:rPr>
          <w:sz w:val="24"/>
        </w:rPr>
      </w:r>
      <w:r/>
    </w:p>
    <w:p>
      <w:pPr>
        <w:pStyle w:val="826"/>
        <w:numPr>
          <w:ilvl w:val="0"/>
          <w:numId w:val="4"/>
        </w:numPr>
        <w:contextualSpacing w:val="false"/>
        <w:ind w:right="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Ob </w:t>
      </w:r>
      <w:r>
        <w:rPr>
          <w:sz w:val="24"/>
        </w:rPr>
        <w:t xml:space="preserve">Abgaben bereits in der Entwurfsphase überprüft werden sollen</w:t>
      </w:r>
      <w:r>
        <w:rPr>
          <w:sz w:val="24"/>
        </w:rPr>
      </w:r>
      <w:r/>
    </w:p>
    <w:p>
      <w:pPr>
        <w:pStyle w:val="826"/>
        <w:numPr>
          <w:ilvl w:val="0"/>
          <w:numId w:val="3"/>
        </w:numPr>
        <w:contextualSpacing w:val="false"/>
        <w:ind w:right="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Speichern.</w:t>
      </w:r>
      <w:r>
        <w:rPr>
          <w:sz w:val="24"/>
        </w:rPr>
      </w:r>
      <w:r/>
    </w:p>
    <w:p>
      <w:pPr>
        <w:pStyle w:val="826"/>
        <w:numPr>
          <w:ilvl w:val="0"/>
          <w:numId w:val="3"/>
        </w:numPr>
        <w:contextualSpacing w:val="false"/>
        <w:ind w:right="0"/>
        <w:jc w:val="left"/>
        <w:spacing w:lineRule="auto" w:line="276" w:after="198" w:before="200"/>
        <w:shd w:val="clear" w:color="FFFFFF" w:fill="FFFFFF"/>
        <w:pBdr>
          <w:left w:val="none" w:color="000000" w:sz="4" w:space="0"/>
          <w:top w:val="none" w:color="000000" w:sz="4" w:space="0"/>
          <w:right w:val="none" w:color="000000" w:sz="4" w:space="0"/>
          <w:bottom w:val="none" w:color="000000" w:sz="4" w:space="0"/>
        </w:pBdr>
      </w:pPr>
      <w:r>
        <w:rPr>
          <w:sz w:val="24"/>
        </w:rPr>
        <w:t xml:space="preserve">Sobald Studierende ihre Arbeiten hochgeladen haben, werden diese an Turnitin gesendet und dem Similarity Check unterzogen. Wie auch beim Similarity Check für wissenschaftliche Abschlussarbeiten dauert es auch hier ca. 15 Minuten, bis der Bericht vorlieg</w:t>
      </w:r>
      <w:r>
        <w:rPr>
          <w:sz w:val="24"/>
        </w:rPr>
        <w:t xml:space="preserve">t. Eine </w:t>
      </w:r>
      <w:r>
        <w:rPr>
          <w:sz w:val="24"/>
        </w:rPr>
        <w:t xml:space="preserve">automatische </w:t>
      </w:r>
      <w:r>
        <w:rPr>
          <w:sz w:val="24"/>
        </w:rPr>
        <w:t xml:space="preserve">Benachrichtigung zum bereitstehenden Bericht ist nicht vorgesehen. Der Prüfbericht kann nun ausgedruckt werden.</w:t>
      </w:r>
      <w:r>
        <w:rPr>
          <w:sz w:val="24"/>
        </w:rPr>
      </w:r>
      <w:r/>
    </w:p>
    <w:p>
      <w:pPr>
        <w:pStyle w:val="648"/>
        <w:outlineLvl w:val="3"/>
      </w:pPr>
      <w:r>
        <w:t xml:space="preserve">Wie interpretiere ich den Prüfbericht?</w:t>
      </w:r>
      <w:r/>
    </w:p>
    <w:p>
      <w:pPr>
        <w:contextualSpacing w:val="false"/>
        <w:jc w:val="left"/>
        <w:spacing w:lineRule="auto" w:line="276" w:after="200" w:before="198"/>
        <w:rPr>
          <w:sz w:val="24"/>
        </w:rPr>
        <w:suppressLineNumbers w:val="0"/>
      </w:pPr>
      <w:r>
        <w:rPr>
          <w:sz w:val="24"/>
        </w:rPr>
        <w:t xml:space="preserve">Ein Prüfbericht des Similarity Check (Similarity Report) besteht aus zwei Teilen: dem Prozentwert und dem Detailbericht.</w:t>
      </w:r>
      <w:r>
        <w:rPr>
          <w:sz w:val="24"/>
        </w:rPr>
      </w:r>
      <w:r/>
    </w:p>
    <w:p>
      <w:pPr>
        <w:contextualSpacing w:val="false"/>
        <w:jc w:val="left"/>
        <w:spacing w:lineRule="auto" w:line="276" w:after="200" w:before="198"/>
        <w:pBdr>
          <w:left w:val="none" w:color="000000" w:sz="4" w:space="0"/>
          <w:top w:val="none" w:color="000000" w:sz="4" w:space="0"/>
          <w:right w:val="none" w:color="000000" w:sz="4" w:space="0"/>
          <w:bottom w:val="none" w:color="000000" w:sz="4" w:space="0"/>
        </w:pBdr>
        <w:suppressLineNumbers w:val="0"/>
      </w:pPr>
      <w:r>
        <w:rPr>
          <w:sz w:val="24"/>
        </w:rPr>
      </w:r>
      <w:r>
        <w:rPr>
          <w:sz w:val="24"/>
        </w:rPr>
        <w:t xml:space="preserve">Der </w:t>
      </w:r>
      <w:r>
        <w:rPr>
          <w:sz w:val="24"/>
        </w:rPr>
        <w:t xml:space="preserve">Prozentwert</w:t>
      </w:r>
      <w:r>
        <w:rPr>
          <w:sz w:val="24"/>
        </w:rPr>
        <w:t xml:space="preserve"> gibt an, welcher Anteil des Dokumentes aus Textübereinstimmungen (Textsimilarität) besteht. Die Software berechnet die Gesamtanzahl der übereinstimmenden Wörter, indem diese durch die Gesamtanzahl der Wörter im Dokument geteilt werden. Das Ergebnis des Si</w:t>
      </w:r>
      <w:r>
        <w:rPr>
          <w:sz w:val="24"/>
        </w:rPr>
        <w:t xml:space="preserve">milarity Check gibt nicht an, wie viel Plagiat in einem Dokument enthalten ist. Es handelt sich dabei nur um ein Indiz auf einen Plagiatsverdacht. Die betreuende Person muss in der Folge die Ergebnisse überprüfen und bewerten. Der Wert 10% bedeutet beispie</w:t>
      </w:r>
      <w:r>
        <w:rPr>
          <w:sz w:val="24"/>
        </w:rPr>
        <w:t xml:space="preserve">lsweise, dass die Software ermittelt hat, dass beim hochgeladenen Dokument 10% Textübereinstimmungen vorliegen. Bitte beachten Sie, dass der Prozentwert nicht angibt, welcher Anteil des Dokumentes plagiiert wurde! (In diesem Beispiel wurden also vermutlich</w:t>
      </w:r>
      <w:r>
        <w:rPr>
          <w:sz w:val="24"/>
        </w:rPr>
        <w:t xml:space="preserve"> nicht 10% des gesamten Dokumentes plagiiert.)</w:t>
      </w:r>
      <w:r>
        <w:rPr>
          <w:sz w:val="24"/>
        </w:rPr>
      </w:r>
      <w:r/>
    </w:p>
    <w:p>
      <w:pPr>
        <w:spacing w:before="198" w:beforeAutospacing="0"/>
        <w:rPr>
          <w:sz w:val="24"/>
          <w:highlight w:val="none"/>
        </w:rPr>
        <w:pBdr>
          <w:left w:val="none" w:color="000000" w:sz="4" w:space="0"/>
          <w:top w:val="none" w:color="000000" w:sz="4" w:space="0"/>
          <w:right w:val="none" w:color="000000" w:sz="4" w:space="0"/>
          <w:bottom w:val="none" w:color="000000" w:sz="4" w:space="0"/>
        </w:pBdr>
        <w:suppressLineNumbers w:val="0"/>
      </w:pPr>
      <w:r>
        <w:rPr>
          <w:sz w:val="24"/>
        </w:rPr>
      </w:r>
      <w:r>
        <w:rPr>
          <w:sz w:val="24"/>
        </w:rPr>
        <w:t xml:space="preserve">Der </w:t>
      </w:r>
      <w:r>
        <w:rPr>
          <w:sz w:val="24"/>
        </w:rPr>
        <w:t xml:space="preserve">Detailbericht</w:t>
      </w:r>
      <w:r>
        <w:rPr>
          <w:sz w:val="24"/>
        </w:rPr>
        <w:t xml:space="preserve"> gibt den gesamten Inhalt des Dokumentes, wie er von der Software gelesen werden konnte, wieder. Jene Passagen, die als Textübereinstimmung erkannt werden konnten, sind farblich markiert. Am Beginn jedes farblich markierten Blocks werden Symbole bzw. Ziffe</w:t>
      </w:r>
      <w:r>
        <w:rPr>
          <w:sz w:val="24"/>
        </w:rPr>
        <w:t xml:space="preserve">rn zu den Dokumenten, in denen der markierte Text gefunden werden konnte, angezeigt. Mittels Klick auf ein Symbol wird das entsprechende Dokument in </w:t>
      </w:r>
      <w:r>
        <w:rPr>
          <w:sz w:val="24"/>
        </w:rPr>
        <w:t xml:space="preserve">der </w:t>
      </w:r>
      <w:r>
        <w:rPr>
          <w:sz w:val="24"/>
        </w:rPr>
        <w:t xml:space="preserve">Quellenübersicht angezeigt. Bitte beachten Sie, dass durch das reine Betrachten des Prozentwertes keine</w:t>
      </w:r>
      <w:r>
        <w:rPr>
          <w:sz w:val="24"/>
        </w:rPr>
        <w:t xml:space="preserve"> zuverlässige Aussage getroffen werden kann.</w:t>
      </w:r>
      <w:r>
        <w:rPr>
          <w:sz w:val="24"/>
        </w:rPr>
      </w:r>
      <w:r/>
    </w:p>
    <w:p>
      <w:pPr>
        <w:pStyle w:val="650"/>
        <w:rPr>
          <w:b/>
        </w:rPr>
      </w:pPr>
      <w:r>
        <w:rPr>
          <w:b/>
        </w:rPr>
      </w:r>
      <w:r>
        <w:rPr>
          <w:b/>
        </w:rPr>
        <w:t xml:space="preserve">Zwei </w:t>
      </w:r>
      <w:r>
        <w:t xml:space="preserve">Extrembeispiele</w:t>
      </w:r>
      <w:r>
        <w:rPr>
          <w:b/>
        </w:rPr>
        <w:t xml:space="preserve">:</w:t>
      </w:r>
      <w:r>
        <w:rPr>
          <w:b/>
        </w:rPr>
      </w:r>
      <w:r/>
    </w:p>
    <w:p>
      <w:pPr>
        <w:pStyle w:val="652"/>
      </w:pPr>
      <w:r>
        <w:rPr>
          <w:sz w:val="24"/>
        </w:rPr>
        <w:t xml:space="preserve">Prozentwert 0%:</w:t>
      </w:r>
      <w:r/>
    </w:p>
    <w:p>
      <w:pPr>
        <w:spacing w:before="198" w:beforeAutospacing="0"/>
        <w:pBdr>
          <w:left w:val="none" w:color="000000" w:sz="4" w:space="0"/>
          <w:top w:val="none" w:color="000000" w:sz="4" w:space="0"/>
          <w:right w:val="none" w:color="000000" w:sz="4" w:space="0"/>
          <w:bottom w:val="none" w:color="000000" w:sz="4" w:space="0"/>
        </w:pBdr>
      </w:pPr>
      <w:r>
        <w:rPr>
          <w:sz w:val="24"/>
        </w:rPr>
      </w:r>
      <w:r>
        <w:rPr>
          <w:sz w:val="24"/>
        </w:rPr>
        <w:t xml:space="preserve">Dieser </w:t>
      </w:r>
      <w:r>
        <w:rPr>
          <w:sz w:val="24"/>
        </w:rPr>
        <w:t xml:space="preserve">Wert </w:t>
      </w:r>
      <w:r>
        <w:rPr>
          <w:sz w:val="24"/>
        </w:rPr>
        <w:t xml:space="preserve">bedeutet, dass der Similarity Check in keinem dem Dienst bekannten Dokument eine Übereinstimmung mit dem von Ihnen hochgeladenen Dokument finden konnte. Das heißt aber nicht, dass es nicht </w:t>
      </w:r>
      <w:r>
        <w:rPr>
          <w:sz w:val="24"/>
        </w:rPr>
        <w:t xml:space="preserve">eine Übereinstimmung mit einem dem Dienst unbekannten D</w:t>
      </w:r>
      <w:r>
        <w:rPr>
          <w:sz w:val="24"/>
        </w:rPr>
        <w:t xml:space="preserve">okument gibt. Es könnte sich also sehr wohl um ein Plagiat </w:t>
      </w:r>
      <w:r>
        <w:rPr>
          <w:sz w:val="24"/>
        </w:rPr>
        <w:t xml:space="preserve">handeln </w:t>
      </w:r>
      <w:r>
        <w:rPr>
          <w:sz w:val="24"/>
        </w:rPr>
        <w:t xml:space="preserve">– obwohl der Similarity Check 0% angibt.</w:t>
      </w:r>
      <w:r>
        <w:rPr>
          <w:sz w:val="24"/>
        </w:rPr>
      </w:r>
      <w:r/>
    </w:p>
    <w:p>
      <w:pPr>
        <w:pStyle w:val="652"/>
      </w:pPr>
      <w:r>
        <w:rPr>
          <w:sz w:val="24"/>
        </w:rPr>
        <w:t xml:space="preserve">Prozentwert 100%:</w:t>
      </w:r>
      <w:r>
        <w:rPr>
          <w:sz w:val="24"/>
        </w:rPr>
      </w:r>
      <w:r/>
    </w:p>
    <w:p>
      <w:pPr>
        <w:spacing w:before="198" w:beforeAutospacing="0"/>
        <w:rPr>
          <w:sz w:val="24"/>
        </w:rPr>
        <w:pBdr>
          <w:left w:val="none" w:color="000000" w:sz="4" w:space="0"/>
          <w:top w:val="none" w:color="000000" w:sz="4" w:space="0"/>
          <w:right w:val="none" w:color="000000" w:sz="4" w:space="0"/>
          <w:bottom w:val="none" w:color="000000" w:sz="4" w:space="0"/>
        </w:pBdr>
        <w:suppressLineNumbers w:val="0"/>
      </w:pPr>
      <w:r>
        <w:rPr>
          <w:sz w:val="24"/>
        </w:rPr>
        <w:t xml:space="preserve">Dieser Wert bedeutet, dass bei 100% des hochgeladenen Textes eine Textübereinstimmung vorl</w:t>
      </w:r>
      <w:r>
        <w:rPr>
          <w:sz w:val="24"/>
        </w:rPr>
        <w:t xml:space="preserve">iegt. Es ist empfehlenswert, sich sämtliche Quellen im Detailbericht anzusehen. Der Grund für den hohen Prozentwert kann beispielsweise in Textfragmenten liegen, die </w:t>
      </w:r>
      <w:r>
        <w:rPr>
          <w:sz w:val="24"/>
        </w:rPr>
        <w:t xml:space="preserve">sowohl im hochgeladenen Dokument als auch auf einer öffentlich zugänglichen Website oder einem Dokument in einer nicht öffentlich zugänglichen </w:t>
      </w:r>
      <w:r>
        <w:rPr>
          <w:sz w:val="24"/>
        </w:rPr>
        <w:t xml:space="preserve">Datenbank zu finden sind.</w:t>
      </w:r>
      <w:r>
        <w:rPr>
          <w:sz w:val="24"/>
        </w:rPr>
      </w:r>
      <w:r/>
    </w:p>
    <w:p>
      <w:pPr>
        <w:spacing w:before="198" w:beforeAutospacing="0"/>
        <w:rPr>
          <w:sz w:val="24"/>
          <w:highlight w:val="none"/>
        </w:rPr>
        <w:pBdr>
          <w:left w:val="none" w:color="000000" w:sz="4" w:space="0"/>
          <w:top w:val="none" w:color="000000" w:sz="4" w:space="0"/>
          <w:right w:val="none" w:color="000000" w:sz="4" w:space="0"/>
          <w:bottom w:val="none" w:color="000000" w:sz="4" w:space="0"/>
        </w:pBdr>
        <w:suppressLineNumbers w:val="0"/>
      </w:pPr>
      <w:r>
        <w:rPr>
          <w:sz w:val="24"/>
        </w:rPr>
        <w:t xml:space="preserve">Wichtig: Eine </w:t>
      </w:r>
      <w:r>
        <w:rPr>
          <w:sz w:val="24"/>
        </w:rPr>
        <w:t xml:space="preserve">Erklärung zu den beiden Extremergebnissen 0% bzw. 100% finden Sie in den FAQ auf T U </w:t>
      </w:r>
      <w:r>
        <w:rPr>
          <w:sz w:val="24"/>
          <w:lang w:val="en-GB"/>
        </w:rPr>
        <w:t xml:space="preserve">4 </w:t>
      </w:r>
      <w:r>
        <w:rPr>
          <w:sz w:val="24"/>
          <w:lang w:val="en-GB"/>
        </w:rPr>
        <w:t xml:space="preserve">U</w:t>
      </w:r>
      <w:r>
        <w:rPr>
          <w:sz w:val="24"/>
          <w:lang w:val="en-GB"/>
        </w:rPr>
        <w:t xml:space="preserve">.</w:t>
      </w:r>
      <w:r>
        <w:rPr>
          <w:sz w:val="24"/>
          <w:lang w:val="en-GB"/>
        </w:rPr>
      </w:r>
      <w:r/>
    </w:p>
    <w:p>
      <w:pPr>
        <w:spacing w:before="198" w:beforeAutospacing="0"/>
        <w:rPr>
          <w:sz w:val="24"/>
          <w:highlight w:val="none"/>
        </w:rPr>
        <w:pBdr>
          <w:left w:val="none" w:color="000000" w:sz="4" w:space="0"/>
          <w:top w:val="none" w:color="000000" w:sz="4" w:space="0"/>
          <w:right w:val="none" w:color="000000" w:sz="4" w:space="0"/>
          <w:bottom w:val="none" w:color="000000" w:sz="4" w:space="0"/>
        </w:pBdr>
        <w:suppressLineNumbers w:val="0"/>
      </w:pPr>
      <w:r>
        <w:rPr>
          <w:sz w:val="24"/>
        </w:rPr>
      </w:r>
      <w:r>
        <w:rPr>
          <w:sz w:val="24"/>
        </w:rPr>
        <w:t xml:space="preserve">Weiterführende Informationen zur Plagiatsprüfung wie eine FAQ-Sammlung finden Sie </w:t>
      </w:r>
      <w:hyperlink r:id="rId13" w:tooltip="Website in TU4U" w:history="1">
        <w:r>
          <w:rPr>
            <w:rStyle w:val="804"/>
            <w:sz w:val="24"/>
          </w:rPr>
          <w:t xml:space="preserve">im T U </w:t>
        </w:r>
        <w:r>
          <w:rPr>
            <w:rStyle w:val="804"/>
            <w:sz w:val="24"/>
            <w:lang w:val="en-GB"/>
          </w:rPr>
          <w:t xml:space="preserve">4 U</w:t>
        </w:r>
      </w:hyperlink>
      <w:r>
        <w:rPr>
          <w:sz w:val="24"/>
        </w:rPr>
        <w:t xml:space="preserve">.</w:t>
      </w:r>
      <w:r>
        <w:rPr>
          <w:sz w:val="24"/>
        </w:rPr>
      </w:r>
      <w:r/>
    </w:p>
    <w:p>
      <w:pPr>
        <w:pStyle w:val="648"/>
        <w:suppressLineNumbers w:val="0"/>
      </w:pPr>
      <w:r>
        <w:rPr>
          <w:highlight w:val="none"/>
        </w:rPr>
        <w:t xml:space="preserve">Sticker zum Beitrag</w:t>
      </w:r>
      <w:r/>
    </w:p>
    <w:p>
      <w:r>
        <mc:AlternateContent>
          <mc:Choice Requires="wpg">
            <w:drawing>
              <wp:inline xmlns:wp="http://schemas.openxmlformats.org/drawingml/2006/wordprocessingDrawing" distT="0" distB="0" distL="0" distR="0">
                <wp:extent cx="1126044" cy="1463381"/>
                <wp:effectExtent l="0" t="0" r="0" b="0"/>
                <wp:docPr id="1" name="" hidden="false" title="Sticker zum Beitrag: Zeichnung eines Weckers, unter dem &quot;ca. 15 Minuten Wartezeit&quot; steht"/>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ticker zum Beitrag: Zeichnung eines Weckers, unter dem &quot;ca. 15 Minuten Wartezeit&quot; steht"/>
                        <pic:cNvPicPr>
                          <a:picLocks noChangeAspect="1"/>
                        </pic:cNvPicPr>
                        <pic:nvPr isPhoto="0" userDrawn="0"/>
                      </pic:nvPicPr>
                      <pic:blipFill>
                        <a:blip r:embed="rId14"/>
                        <a:stretch/>
                      </pic:blipFill>
                      <pic:spPr bwMode="auto">
                        <a:xfrm rot="0" flipH="0" flipV="0">
                          <a:off x="0" y="0"/>
                          <a:ext cx="1126043" cy="1463381"/>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88.7pt;height:115.2pt;rotation:0;" stroked="false">
                <v:path textboxrect="0,0,0,0"/>
                <v:imagedata r:id="rId14" o:title=""/>
              </v:shape>
            </w:pict>
          </mc:Fallback>
        </mc:AlternateContent>
      </w:r>
      <w:r/>
    </w:p>
    <w:sectPr>
      <w:footerReference w:type="default" r:id="rId9"/>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74"/>
      <w:jc w:val="center"/>
    </w:pPr>
    <w:fldSimple w:instr="PAGE \* MERGEFORMAT">
      <w:r>
        <w:t xml:space="preserve">1</w:t>
      </w:r>
    </w:fldSimple>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abstractNum w:abstractNumId="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46">
    <w:name w:val="Heading 1"/>
    <w:basedOn w:val="822"/>
    <w:next w:val="822"/>
    <w:link w:val="647"/>
    <w:qFormat/>
    <w:uiPriority w:val="9"/>
    <w:rPr>
      <w:rFonts w:ascii="Arial" w:hAnsi="Arial" w:cs="Arial" w:eastAsia="Arial"/>
      <w:b/>
      <w:sz w:val="40"/>
      <w:szCs w:val="40"/>
    </w:rPr>
    <w:pPr>
      <w:keepLines/>
      <w:keepNext/>
      <w:spacing w:after="200" w:before="480"/>
      <w:pBdr>
        <w:left w:val="none" w:color="000000" w:sz="4" w:space="0"/>
        <w:top w:val="none" w:color="000000" w:sz="4" w:space="0"/>
        <w:right w:val="none" w:color="000000" w:sz="4" w:space="0"/>
        <w:bottom w:val="none" w:color="000000" w:sz="4" w:space="0"/>
      </w:pBdr>
      <w:outlineLvl w:val="1"/>
    </w:pPr>
  </w:style>
  <w:style w:type="character" w:styleId="647">
    <w:name w:val="Heading 1 Char"/>
    <w:link w:val="646"/>
    <w:uiPriority w:val="9"/>
    <w:rPr>
      <w:b/>
    </w:rPr>
  </w:style>
  <w:style w:type="paragraph" w:styleId="648">
    <w:name w:val="Heading 2"/>
    <w:basedOn w:val="822"/>
    <w:next w:val="822"/>
    <w:link w:val="649"/>
    <w:qFormat/>
    <w:uiPriority w:val="9"/>
    <w:unhideWhenUsed/>
    <w:rPr>
      <w:rFonts w:ascii="Arial" w:hAnsi="Arial" w:cs="Arial" w:eastAsia="Arial"/>
      <w:b/>
      <w:sz w:val="34"/>
    </w:rPr>
    <w:pPr>
      <w:keepLines/>
      <w:keepNext/>
      <w:spacing w:after="200" w:before="360"/>
      <w:outlineLvl w:val="3"/>
    </w:pPr>
  </w:style>
  <w:style w:type="character" w:styleId="649">
    <w:name w:val="Heading 2 Char"/>
    <w:link w:val="648"/>
    <w:uiPriority w:val="9"/>
    <w:rPr>
      <w:b/>
      <w:sz w:val="34"/>
    </w:rPr>
  </w:style>
  <w:style w:type="paragraph" w:styleId="650">
    <w:name w:val="Heading 3"/>
    <w:basedOn w:val="822"/>
    <w:next w:val="822"/>
    <w:link w:val="651"/>
    <w:qFormat/>
    <w:uiPriority w:val="9"/>
    <w:unhideWhenUsed/>
    <w:rPr>
      <w:rFonts w:ascii="Arial" w:hAnsi="Arial" w:cs="Arial" w:eastAsia="Arial"/>
      <w:b/>
      <w:sz w:val="30"/>
      <w:szCs w:val="30"/>
    </w:rPr>
    <w:pPr>
      <w:keepLines/>
      <w:keepNext/>
      <w:spacing w:after="200" w:before="320"/>
      <w:outlineLvl w:val="2"/>
    </w:pPr>
  </w:style>
  <w:style w:type="character" w:styleId="651">
    <w:name w:val="Heading 3 Char"/>
    <w:link w:val="650"/>
    <w:uiPriority w:val="9"/>
    <w:rPr>
      <w:b/>
    </w:rPr>
  </w:style>
  <w:style w:type="paragraph" w:styleId="652">
    <w:name w:val="Heading 4"/>
    <w:basedOn w:val="822"/>
    <w:next w:val="822"/>
    <w:link w:val="653"/>
    <w:qFormat/>
    <w:uiPriority w:val="9"/>
    <w:unhideWhenUsed/>
    <w:rPr>
      <w:rFonts w:ascii="Arial" w:hAnsi="Arial" w:cs="Arial" w:eastAsia="Arial"/>
      <w:b/>
      <w:bCs/>
      <w:sz w:val="26"/>
      <w:szCs w:val="26"/>
    </w:rPr>
    <w:pPr>
      <w:keepLines/>
      <w:keepNext/>
      <w:spacing w:after="200" w:before="320"/>
      <w:outlineLvl w:val="3"/>
    </w:pPr>
  </w:style>
  <w:style w:type="character" w:styleId="653">
    <w:name w:val="Heading 4 Char"/>
    <w:link w:val="652"/>
    <w:uiPriority w:val="9"/>
    <w:rPr>
      <w:rFonts w:ascii="Arial" w:hAnsi="Arial" w:cs="Arial" w:eastAsia="Arial"/>
      <w:b/>
      <w:bCs/>
      <w:sz w:val="26"/>
      <w:szCs w:val="26"/>
    </w:rPr>
  </w:style>
  <w:style w:type="paragraph" w:styleId="654">
    <w:name w:val="Heading 5"/>
    <w:basedOn w:val="822"/>
    <w:next w:val="822"/>
    <w:link w:val="655"/>
    <w:qFormat/>
    <w:uiPriority w:val="9"/>
    <w:unhideWhenUsed/>
    <w:rPr>
      <w:rFonts w:ascii="Arial" w:hAnsi="Arial" w:cs="Arial" w:eastAsia="Arial"/>
      <w:b/>
      <w:bCs/>
      <w:sz w:val="24"/>
      <w:szCs w:val="24"/>
    </w:rPr>
    <w:pPr>
      <w:keepLines/>
      <w:keepNext/>
      <w:spacing w:after="200" w:before="320"/>
      <w:outlineLvl w:val="4"/>
    </w:pPr>
  </w:style>
  <w:style w:type="character" w:styleId="655">
    <w:name w:val="Heading 5 Char"/>
    <w:link w:val="654"/>
    <w:uiPriority w:val="9"/>
    <w:rPr>
      <w:rFonts w:ascii="Arial" w:hAnsi="Arial" w:cs="Arial" w:eastAsia="Arial"/>
      <w:b/>
      <w:bCs/>
      <w:sz w:val="24"/>
      <w:szCs w:val="24"/>
    </w:rPr>
  </w:style>
  <w:style w:type="paragraph" w:styleId="656">
    <w:name w:val="Heading 6"/>
    <w:basedOn w:val="822"/>
    <w:next w:val="822"/>
    <w:link w:val="657"/>
    <w:qFormat/>
    <w:uiPriority w:val="9"/>
    <w:unhideWhenUsed/>
    <w:rPr>
      <w:rFonts w:ascii="Arial" w:hAnsi="Arial" w:cs="Arial" w:eastAsia="Arial"/>
      <w:b/>
      <w:bCs/>
      <w:sz w:val="22"/>
      <w:szCs w:val="22"/>
    </w:rPr>
    <w:pPr>
      <w:keepLines/>
      <w:keepNext/>
      <w:spacing w:after="200" w:before="320"/>
      <w:outlineLvl w:val="5"/>
    </w:pPr>
  </w:style>
  <w:style w:type="character" w:styleId="657">
    <w:name w:val="Heading 6 Char"/>
    <w:link w:val="656"/>
    <w:uiPriority w:val="9"/>
    <w:rPr>
      <w:rFonts w:ascii="Arial" w:hAnsi="Arial" w:cs="Arial" w:eastAsia="Arial"/>
      <w:b/>
      <w:bCs/>
      <w:sz w:val="22"/>
      <w:szCs w:val="22"/>
    </w:rPr>
  </w:style>
  <w:style w:type="paragraph" w:styleId="658">
    <w:name w:val="Heading 7"/>
    <w:basedOn w:val="822"/>
    <w:next w:val="822"/>
    <w:link w:val="659"/>
    <w:qFormat/>
    <w:uiPriority w:val="9"/>
    <w:unhideWhenUsed/>
    <w:rPr>
      <w:rFonts w:ascii="Arial" w:hAnsi="Arial" w:cs="Arial" w:eastAsia="Arial"/>
      <w:b/>
      <w:bCs/>
      <w:i/>
      <w:iCs/>
      <w:sz w:val="22"/>
      <w:szCs w:val="22"/>
    </w:rPr>
    <w:pPr>
      <w:keepLines/>
      <w:keepNext/>
      <w:spacing w:after="200" w:before="320"/>
      <w:outlineLvl w:val="6"/>
    </w:pPr>
  </w:style>
  <w:style w:type="character" w:styleId="659">
    <w:name w:val="Heading 7 Char"/>
    <w:link w:val="658"/>
    <w:uiPriority w:val="9"/>
    <w:rPr>
      <w:rFonts w:ascii="Arial" w:hAnsi="Arial" w:cs="Arial" w:eastAsia="Arial"/>
      <w:b/>
      <w:bCs/>
      <w:i/>
      <w:iCs/>
      <w:sz w:val="22"/>
      <w:szCs w:val="22"/>
    </w:rPr>
  </w:style>
  <w:style w:type="paragraph" w:styleId="660">
    <w:name w:val="Heading 8"/>
    <w:basedOn w:val="822"/>
    <w:next w:val="822"/>
    <w:link w:val="661"/>
    <w:qFormat/>
    <w:uiPriority w:val="9"/>
    <w:unhideWhenUsed/>
    <w:rPr>
      <w:rFonts w:ascii="Arial" w:hAnsi="Arial" w:cs="Arial" w:eastAsia="Arial"/>
      <w:i/>
      <w:iCs/>
      <w:sz w:val="22"/>
      <w:szCs w:val="22"/>
    </w:rPr>
    <w:pPr>
      <w:keepLines/>
      <w:keepNext/>
      <w:spacing w:after="200" w:before="320"/>
      <w:outlineLvl w:val="7"/>
    </w:pPr>
  </w:style>
  <w:style w:type="character" w:styleId="661">
    <w:name w:val="Heading 8 Char"/>
    <w:link w:val="660"/>
    <w:uiPriority w:val="9"/>
    <w:rPr>
      <w:rFonts w:ascii="Arial" w:hAnsi="Arial" w:cs="Arial" w:eastAsia="Arial"/>
      <w:i/>
      <w:iCs/>
      <w:sz w:val="22"/>
      <w:szCs w:val="22"/>
    </w:rPr>
  </w:style>
  <w:style w:type="paragraph" w:styleId="662">
    <w:name w:val="Heading 9"/>
    <w:basedOn w:val="822"/>
    <w:next w:val="822"/>
    <w:link w:val="663"/>
    <w:qFormat/>
    <w:uiPriority w:val="9"/>
    <w:unhideWhenUsed/>
    <w:rPr>
      <w:rFonts w:ascii="Arial" w:hAnsi="Arial" w:cs="Arial" w:eastAsia="Arial"/>
      <w:i/>
      <w:iCs/>
      <w:sz w:val="21"/>
      <w:szCs w:val="21"/>
    </w:rPr>
    <w:pPr>
      <w:keepLines/>
      <w:keepNext/>
      <w:spacing w:after="200" w:before="320"/>
      <w:outlineLvl w:val="8"/>
    </w:pPr>
  </w:style>
  <w:style w:type="character" w:styleId="663">
    <w:name w:val="Heading 9 Char"/>
    <w:link w:val="662"/>
    <w:uiPriority w:val="9"/>
    <w:rPr>
      <w:rFonts w:ascii="Arial" w:hAnsi="Arial" w:cs="Arial" w:eastAsia="Arial"/>
      <w:i/>
      <w:iCs/>
      <w:sz w:val="21"/>
      <w:szCs w:val="21"/>
    </w:rPr>
  </w:style>
  <w:style w:type="paragraph" w:styleId="664">
    <w:name w:val="Title"/>
    <w:basedOn w:val="822"/>
    <w:next w:val="822"/>
    <w:link w:val="665"/>
    <w:qFormat/>
    <w:uiPriority w:val="10"/>
    <w:rPr>
      <w:sz w:val="48"/>
      <w:szCs w:val="48"/>
    </w:rPr>
    <w:pPr>
      <w:contextualSpacing w:val="true"/>
      <w:spacing w:after="200" w:before="300"/>
    </w:pPr>
  </w:style>
  <w:style w:type="character" w:styleId="665">
    <w:name w:val="Title Char"/>
    <w:link w:val="664"/>
    <w:uiPriority w:val="10"/>
    <w:rPr>
      <w:sz w:val="48"/>
      <w:szCs w:val="48"/>
    </w:rPr>
  </w:style>
  <w:style w:type="paragraph" w:styleId="666">
    <w:name w:val="Subtitle"/>
    <w:basedOn w:val="822"/>
    <w:next w:val="822"/>
    <w:link w:val="667"/>
    <w:qFormat/>
    <w:uiPriority w:val="11"/>
    <w:rPr>
      <w:sz w:val="24"/>
      <w:szCs w:val="24"/>
    </w:rPr>
    <w:pPr>
      <w:spacing w:after="200" w:before="200"/>
    </w:pPr>
  </w:style>
  <w:style w:type="character" w:styleId="667">
    <w:name w:val="Subtitle Char"/>
    <w:link w:val="666"/>
    <w:uiPriority w:val="11"/>
    <w:rPr>
      <w:sz w:val="24"/>
      <w:szCs w:val="24"/>
    </w:rPr>
  </w:style>
  <w:style w:type="paragraph" w:styleId="668">
    <w:name w:val="Quote"/>
    <w:basedOn w:val="822"/>
    <w:next w:val="822"/>
    <w:link w:val="669"/>
    <w:qFormat/>
    <w:uiPriority w:val="29"/>
    <w:rPr>
      <w:i/>
    </w:rPr>
    <w:pPr>
      <w:ind w:left="720" w:right="720"/>
    </w:pPr>
  </w:style>
  <w:style w:type="character" w:styleId="669">
    <w:name w:val="Quote Char"/>
    <w:link w:val="668"/>
    <w:uiPriority w:val="29"/>
    <w:rPr>
      <w:i/>
    </w:rPr>
  </w:style>
  <w:style w:type="paragraph" w:styleId="670">
    <w:name w:val="Intense Quote"/>
    <w:basedOn w:val="822"/>
    <w:next w:val="822"/>
    <w:link w:val="671"/>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71">
    <w:name w:val="Intense Quote Char"/>
    <w:link w:val="670"/>
    <w:uiPriority w:val="30"/>
    <w:rPr>
      <w:i/>
    </w:rPr>
  </w:style>
  <w:style w:type="paragraph" w:styleId="672">
    <w:name w:val="Header"/>
    <w:basedOn w:val="822"/>
    <w:link w:val="673"/>
    <w:uiPriority w:val="99"/>
    <w:unhideWhenUsed/>
    <w:pPr>
      <w:spacing w:lineRule="auto" w:line="240" w:after="0"/>
      <w:tabs>
        <w:tab w:val="center" w:pos="7143" w:leader="none"/>
        <w:tab w:val="right" w:pos="14287" w:leader="none"/>
      </w:tabs>
    </w:pPr>
  </w:style>
  <w:style w:type="character" w:styleId="673">
    <w:name w:val="Header Char"/>
    <w:link w:val="672"/>
    <w:uiPriority w:val="99"/>
  </w:style>
  <w:style w:type="paragraph" w:styleId="674">
    <w:name w:val="Footer"/>
    <w:basedOn w:val="822"/>
    <w:link w:val="677"/>
    <w:uiPriority w:val="99"/>
    <w:unhideWhenUsed/>
    <w:rPr>
      <w:sz w:val="24"/>
    </w:rPr>
    <w:pPr>
      <w:jc w:val="center"/>
      <w:spacing w:lineRule="auto" w:line="240" w:after="0"/>
      <w:tabs>
        <w:tab w:val="center" w:pos="7143" w:leader="none"/>
        <w:tab w:val="right" w:pos="14287" w:leader="none"/>
      </w:tabs>
    </w:pPr>
  </w:style>
  <w:style w:type="character" w:styleId="675">
    <w:name w:val="Footer Char"/>
    <w:link w:val="674"/>
    <w:uiPriority w:val="99"/>
  </w:style>
  <w:style w:type="paragraph" w:styleId="676">
    <w:name w:val="Caption"/>
    <w:basedOn w:val="822"/>
    <w:next w:val="822"/>
    <w:qFormat/>
    <w:uiPriority w:val="35"/>
    <w:semiHidden/>
    <w:unhideWhenUsed/>
    <w:rPr>
      <w:b/>
      <w:bCs/>
      <w:color w:val="4F81BD" w:themeColor="accent1"/>
      <w:sz w:val="18"/>
      <w:szCs w:val="18"/>
    </w:rPr>
    <w:pPr>
      <w:spacing w:lineRule="auto" w:line="276"/>
    </w:pPr>
  </w:style>
  <w:style w:type="character" w:styleId="677">
    <w:name w:val="Caption Char"/>
    <w:link w:val="674"/>
    <w:uiPriority w:val="99"/>
    <w:rPr>
      <w:sz w:val="24"/>
    </w:rPr>
  </w:style>
  <w:style w:type="table" w:styleId="678">
    <w:name w:val="Table Grid"/>
    <w:basedOn w:val="823"/>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79">
    <w:name w:val="Table Grid Light"/>
    <w:basedOn w:val="82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80">
    <w:name w:val="Plain Table 1"/>
    <w:basedOn w:val="82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81">
    <w:name w:val="Plain Table 2"/>
    <w:basedOn w:val="82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2">
    <w:name w:val="Plain Table 3"/>
    <w:basedOn w:val="8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83">
    <w:name w:val="Plain Table 4"/>
    <w:basedOn w:val="8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4">
    <w:name w:val="Plain Table 5"/>
    <w:basedOn w:val="82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85">
    <w:name w:val="Grid Table 1 Light"/>
    <w:basedOn w:val="82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86">
    <w:name w:val="Grid Table 1 Light - Accent 1"/>
    <w:basedOn w:val="82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87">
    <w:name w:val="Grid Table 1 Light - Accent 2"/>
    <w:basedOn w:val="82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88">
    <w:name w:val="Grid Table 1 Light - Accent 3"/>
    <w:basedOn w:val="82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89">
    <w:name w:val="Grid Table 1 Light - Accent 4"/>
    <w:basedOn w:val="82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90">
    <w:name w:val="Grid Table 1 Light - Accent 5"/>
    <w:basedOn w:val="82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91">
    <w:name w:val="Grid Table 1 Light - Accent 6"/>
    <w:basedOn w:val="82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92">
    <w:name w:val="Grid Table 2"/>
    <w:basedOn w:val="82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93">
    <w:name w:val="Grid Table 2 - Accent 1"/>
    <w:basedOn w:val="82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94">
    <w:name w:val="Grid Table 2 - Accent 2"/>
    <w:basedOn w:val="82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95">
    <w:name w:val="Grid Table 2 - Accent 3"/>
    <w:basedOn w:val="82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96">
    <w:name w:val="Grid Table 2 - Accent 4"/>
    <w:basedOn w:val="82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97">
    <w:name w:val="Grid Table 2 - Accent 5"/>
    <w:basedOn w:val="82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698">
    <w:name w:val="Grid Table 2 - Accent 6"/>
    <w:basedOn w:val="82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699">
    <w:name w:val="Grid Table 3"/>
    <w:basedOn w:val="82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0">
    <w:name w:val="Grid Table 3 - Accent 1"/>
    <w:basedOn w:val="82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1">
    <w:name w:val="Grid Table 3 - Accent 2"/>
    <w:basedOn w:val="82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2">
    <w:name w:val="Grid Table 3 - Accent 3"/>
    <w:basedOn w:val="82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3">
    <w:name w:val="Grid Table 3 - Accent 4"/>
    <w:basedOn w:val="82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4">
    <w:name w:val="Grid Table 3 - Accent 5"/>
    <w:basedOn w:val="82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5">
    <w:name w:val="Grid Table 3 - Accent 6"/>
    <w:basedOn w:val="82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706">
    <w:name w:val="Grid Table 4"/>
    <w:basedOn w:val="82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707">
    <w:name w:val="Grid Table 4 - Accent 1"/>
    <w:basedOn w:val="82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708">
    <w:name w:val="Grid Table 4 - Accent 2"/>
    <w:basedOn w:val="82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709">
    <w:name w:val="Grid Table 4 - Accent 3"/>
    <w:basedOn w:val="82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10">
    <w:name w:val="Grid Table 4 - Accent 4"/>
    <w:basedOn w:val="82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11">
    <w:name w:val="Grid Table 4 - Accent 5"/>
    <w:basedOn w:val="82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12">
    <w:name w:val="Grid Table 4 - Accent 6"/>
    <w:basedOn w:val="82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13">
    <w:name w:val="Grid Table 5 Dark"/>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4">
    <w:name w:val="Grid Table 5 Dark- Accent 1"/>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5">
    <w:name w:val="Grid Table 5 Dark - Accent 2"/>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6">
    <w:name w:val="Grid Table 5 Dark - Accent 3"/>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7">
    <w:name w:val="Grid Table 5 Dark- Accent 4"/>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8">
    <w:name w:val="Grid Table 5 Dark - Accent 5"/>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9">
    <w:name w:val="Grid Table 5 Dark - Accent 6"/>
    <w:basedOn w:val="82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20">
    <w:name w:val="Grid Table 6 Colorful"/>
    <w:basedOn w:val="82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21">
    <w:name w:val="Grid Table 6 Colorful - Accent 1"/>
    <w:basedOn w:val="82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22">
    <w:name w:val="Grid Table 6 Colorful - Accent 2"/>
    <w:basedOn w:val="82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23">
    <w:name w:val="Grid Table 6 Colorful - Accent 3"/>
    <w:basedOn w:val="82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24">
    <w:name w:val="Grid Table 6 Colorful - Accent 4"/>
    <w:basedOn w:val="82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25">
    <w:name w:val="Grid Table 6 Colorful - Accent 5"/>
    <w:basedOn w:val="82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6">
    <w:name w:val="Grid Table 6 Colorful - Accent 6"/>
    <w:basedOn w:val="82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27">
    <w:name w:val="Grid Table 7 Colorful"/>
    <w:basedOn w:val="82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28">
    <w:name w:val="Grid Table 7 Colorful - Accent 1"/>
    <w:basedOn w:val="82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29">
    <w:name w:val="Grid Table 7 Colorful - Accent 2"/>
    <w:basedOn w:val="82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30">
    <w:name w:val="Grid Table 7 Colorful - Accent 3"/>
    <w:basedOn w:val="82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31">
    <w:name w:val="Grid Table 7 Colorful - Accent 4"/>
    <w:basedOn w:val="82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32">
    <w:name w:val="Grid Table 7 Colorful - Accent 5"/>
    <w:basedOn w:val="82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33">
    <w:name w:val="Grid Table 7 Colorful - Accent 6"/>
    <w:basedOn w:val="82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34">
    <w:name w:val="List Table 1 Light"/>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35">
    <w:name w:val="List Table 1 Light - Accent 1"/>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36">
    <w:name w:val="List Table 1 Light - Accent 2"/>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37">
    <w:name w:val="List Table 1 Light - Accent 3"/>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38">
    <w:name w:val="List Table 1 Light - Accent 4"/>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39">
    <w:name w:val="List Table 1 Light - Accent 5"/>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40">
    <w:name w:val="List Table 1 Light - Accent 6"/>
    <w:basedOn w:val="82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41">
    <w:name w:val="List Table 2"/>
    <w:basedOn w:val="82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42">
    <w:name w:val="List Table 2 - Accent 1"/>
    <w:basedOn w:val="82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43">
    <w:name w:val="List Table 2 - Accent 2"/>
    <w:basedOn w:val="82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44">
    <w:name w:val="List Table 2 - Accent 3"/>
    <w:basedOn w:val="82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45">
    <w:name w:val="List Table 2 - Accent 4"/>
    <w:basedOn w:val="82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46">
    <w:name w:val="List Table 2 - Accent 5"/>
    <w:basedOn w:val="82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47">
    <w:name w:val="List Table 2 - Accent 6"/>
    <w:basedOn w:val="82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48">
    <w:name w:val="List Table 3"/>
    <w:basedOn w:val="82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9">
    <w:name w:val="List Table 3 - Accent 1"/>
    <w:basedOn w:val="82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0">
    <w:name w:val="List Table 3 - Accent 2"/>
    <w:basedOn w:val="82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1">
    <w:name w:val="List Table 3 - Accent 3"/>
    <w:basedOn w:val="82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2">
    <w:name w:val="List Table 3 - Accent 4"/>
    <w:basedOn w:val="82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3">
    <w:name w:val="List Table 3 - Accent 5"/>
    <w:basedOn w:val="82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4">
    <w:name w:val="List Table 3 - Accent 6"/>
    <w:basedOn w:val="82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5">
    <w:name w:val="List Table 4"/>
    <w:basedOn w:val="82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6">
    <w:name w:val="List Table 4 - Accent 1"/>
    <w:basedOn w:val="82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7">
    <w:name w:val="List Table 4 - Accent 2"/>
    <w:basedOn w:val="82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8">
    <w:name w:val="List Table 4 - Accent 3"/>
    <w:basedOn w:val="82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9">
    <w:name w:val="List Table 4 - Accent 4"/>
    <w:basedOn w:val="82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0">
    <w:name w:val="List Table 4 - Accent 5"/>
    <w:basedOn w:val="82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1">
    <w:name w:val="List Table 4 - Accent 6"/>
    <w:basedOn w:val="82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62">
    <w:name w:val="List Table 5 Dark"/>
    <w:basedOn w:val="82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3">
    <w:name w:val="List Table 5 Dark - Accent 1"/>
    <w:basedOn w:val="82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4">
    <w:name w:val="List Table 5 Dark - Accent 2"/>
    <w:basedOn w:val="82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5">
    <w:name w:val="List Table 5 Dark - Accent 3"/>
    <w:basedOn w:val="82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6">
    <w:name w:val="List Table 5 Dark - Accent 4"/>
    <w:basedOn w:val="82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7">
    <w:name w:val="List Table 5 Dark - Accent 5"/>
    <w:basedOn w:val="82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8">
    <w:name w:val="List Table 5 Dark - Accent 6"/>
    <w:basedOn w:val="82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69">
    <w:name w:val="List Table 6 Colorful"/>
    <w:basedOn w:val="82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70">
    <w:name w:val="List Table 6 Colorful - Accent 1"/>
    <w:basedOn w:val="82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71">
    <w:name w:val="List Table 6 Colorful - Accent 2"/>
    <w:basedOn w:val="82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72">
    <w:name w:val="List Table 6 Colorful - Accent 3"/>
    <w:basedOn w:val="82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73">
    <w:name w:val="List Table 6 Colorful - Accent 4"/>
    <w:basedOn w:val="82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74">
    <w:name w:val="List Table 6 Colorful - Accent 5"/>
    <w:basedOn w:val="82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75">
    <w:name w:val="List Table 6 Colorful - Accent 6"/>
    <w:basedOn w:val="82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76">
    <w:name w:val="List Table 7 Colorful"/>
    <w:basedOn w:val="82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77">
    <w:name w:val="List Table 7 Colorful - Accent 1"/>
    <w:basedOn w:val="82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78">
    <w:name w:val="List Table 7 Colorful - Accent 2"/>
    <w:basedOn w:val="82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79">
    <w:name w:val="List Table 7 Colorful - Accent 3"/>
    <w:basedOn w:val="82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80">
    <w:name w:val="List Table 7 Colorful - Accent 4"/>
    <w:basedOn w:val="82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81">
    <w:name w:val="List Table 7 Colorful - Accent 5"/>
    <w:basedOn w:val="82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82">
    <w:name w:val="List Table 7 Colorful - Accent 6"/>
    <w:basedOn w:val="82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83">
    <w:name w:val="Lined - Accent"/>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4">
    <w:name w:val="Lined - Accent 1"/>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5">
    <w:name w:val="Lined - Accent 2"/>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6">
    <w:name w:val="Lined - Accent 3"/>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7">
    <w:name w:val="Lined - Accent 4"/>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8">
    <w:name w:val="Lined - Accent 5"/>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9">
    <w:name w:val="Lined - Accent 6"/>
    <w:basedOn w:val="82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0">
    <w:name w:val="Bordered &amp; Lined - Accent"/>
    <w:basedOn w:val="823"/>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1">
    <w:name w:val="Bordered &amp; Lined - Accent 1"/>
    <w:basedOn w:val="823"/>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2">
    <w:name w:val="Bordered &amp; Lined - Accent 2"/>
    <w:basedOn w:val="823"/>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3">
    <w:name w:val="Bordered &amp; Lined - Accent 3"/>
    <w:basedOn w:val="823"/>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4">
    <w:name w:val="Bordered &amp; Lined - Accent 4"/>
    <w:basedOn w:val="823"/>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5">
    <w:name w:val="Bordered &amp; Lined - Accent 5"/>
    <w:basedOn w:val="823"/>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6">
    <w:name w:val="Bordered &amp; Lined - Accent 6"/>
    <w:basedOn w:val="823"/>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97">
    <w:name w:val="Bordered"/>
    <w:basedOn w:val="823"/>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798">
    <w:name w:val="Bordered - Accent 1"/>
    <w:basedOn w:val="82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799">
    <w:name w:val="Bordered - Accent 2"/>
    <w:basedOn w:val="82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800">
    <w:name w:val="Bordered - Accent 3"/>
    <w:basedOn w:val="82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801">
    <w:name w:val="Bordered - Accent 4"/>
    <w:basedOn w:val="82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802">
    <w:name w:val="Bordered - Accent 5"/>
    <w:basedOn w:val="82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803">
    <w:name w:val="Bordered - Accent 6"/>
    <w:basedOn w:val="82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804">
    <w:name w:val="Hyperlink"/>
    <w:uiPriority w:val="99"/>
    <w:unhideWhenUsed/>
    <w:rPr>
      <w:color w:val="0000FF" w:themeColor="hyperlink"/>
      <w:u w:val="single"/>
    </w:rPr>
  </w:style>
  <w:style w:type="paragraph" w:styleId="805">
    <w:name w:val="footnote text"/>
    <w:basedOn w:val="822"/>
    <w:link w:val="806"/>
    <w:uiPriority w:val="99"/>
    <w:semiHidden/>
    <w:unhideWhenUsed/>
    <w:rPr>
      <w:sz w:val="18"/>
    </w:rPr>
    <w:pPr>
      <w:spacing w:lineRule="auto" w:line="240" w:after="40"/>
    </w:pPr>
  </w:style>
  <w:style w:type="character" w:styleId="806">
    <w:name w:val="Footnote Text Char"/>
    <w:link w:val="805"/>
    <w:uiPriority w:val="99"/>
    <w:rPr>
      <w:sz w:val="18"/>
    </w:rPr>
  </w:style>
  <w:style w:type="character" w:styleId="807">
    <w:name w:val="footnote reference"/>
    <w:uiPriority w:val="99"/>
    <w:unhideWhenUsed/>
    <w:rPr>
      <w:vertAlign w:val="superscript"/>
    </w:rPr>
  </w:style>
  <w:style w:type="paragraph" w:styleId="808">
    <w:name w:val="endnote text"/>
    <w:basedOn w:val="822"/>
    <w:link w:val="809"/>
    <w:uiPriority w:val="99"/>
    <w:semiHidden/>
    <w:unhideWhenUsed/>
    <w:rPr>
      <w:sz w:val="20"/>
    </w:rPr>
    <w:pPr>
      <w:spacing w:lineRule="auto" w:line="240" w:after="0"/>
    </w:pPr>
  </w:style>
  <w:style w:type="character" w:styleId="809">
    <w:name w:val="Endnote Text Char"/>
    <w:link w:val="808"/>
    <w:uiPriority w:val="99"/>
    <w:rPr>
      <w:sz w:val="20"/>
    </w:rPr>
  </w:style>
  <w:style w:type="character" w:styleId="810">
    <w:name w:val="endnote reference"/>
    <w:uiPriority w:val="99"/>
    <w:semiHidden/>
    <w:unhideWhenUsed/>
    <w:rPr>
      <w:vertAlign w:val="superscript"/>
    </w:rPr>
  </w:style>
  <w:style w:type="paragraph" w:styleId="811">
    <w:name w:val="toc 1"/>
    <w:basedOn w:val="822"/>
    <w:next w:val="822"/>
    <w:uiPriority w:val="39"/>
    <w:unhideWhenUsed/>
    <w:pPr>
      <w:ind w:left="0" w:right="0" w:firstLine="0"/>
      <w:spacing w:after="57"/>
    </w:pPr>
  </w:style>
  <w:style w:type="paragraph" w:styleId="812">
    <w:name w:val="toc 2"/>
    <w:basedOn w:val="822"/>
    <w:next w:val="822"/>
    <w:uiPriority w:val="39"/>
    <w:unhideWhenUsed/>
    <w:pPr>
      <w:ind w:left="283" w:right="0" w:firstLine="0"/>
      <w:spacing w:after="57"/>
    </w:pPr>
  </w:style>
  <w:style w:type="paragraph" w:styleId="813">
    <w:name w:val="toc 3"/>
    <w:basedOn w:val="822"/>
    <w:next w:val="822"/>
    <w:uiPriority w:val="39"/>
    <w:unhideWhenUsed/>
    <w:pPr>
      <w:ind w:left="567" w:right="0" w:firstLine="0"/>
      <w:spacing w:after="57"/>
    </w:pPr>
  </w:style>
  <w:style w:type="paragraph" w:styleId="814">
    <w:name w:val="toc 4"/>
    <w:basedOn w:val="822"/>
    <w:next w:val="822"/>
    <w:uiPriority w:val="39"/>
    <w:unhideWhenUsed/>
    <w:pPr>
      <w:ind w:left="850" w:right="0" w:firstLine="0"/>
      <w:spacing w:after="57"/>
    </w:pPr>
  </w:style>
  <w:style w:type="paragraph" w:styleId="815">
    <w:name w:val="toc 5"/>
    <w:basedOn w:val="822"/>
    <w:next w:val="822"/>
    <w:uiPriority w:val="39"/>
    <w:unhideWhenUsed/>
    <w:pPr>
      <w:ind w:left="1134" w:right="0" w:firstLine="0"/>
      <w:spacing w:after="57"/>
    </w:pPr>
  </w:style>
  <w:style w:type="paragraph" w:styleId="816">
    <w:name w:val="toc 6"/>
    <w:basedOn w:val="822"/>
    <w:next w:val="822"/>
    <w:uiPriority w:val="39"/>
    <w:unhideWhenUsed/>
    <w:pPr>
      <w:ind w:left="1417" w:right="0" w:firstLine="0"/>
      <w:spacing w:after="57"/>
    </w:pPr>
  </w:style>
  <w:style w:type="paragraph" w:styleId="817">
    <w:name w:val="toc 7"/>
    <w:basedOn w:val="822"/>
    <w:next w:val="822"/>
    <w:uiPriority w:val="39"/>
    <w:unhideWhenUsed/>
    <w:pPr>
      <w:ind w:left="1701" w:right="0" w:firstLine="0"/>
      <w:spacing w:after="57"/>
    </w:pPr>
  </w:style>
  <w:style w:type="paragraph" w:styleId="818">
    <w:name w:val="toc 8"/>
    <w:basedOn w:val="822"/>
    <w:next w:val="822"/>
    <w:uiPriority w:val="39"/>
    <w:unhideWhenUsed/>
    <w:pPr>
      <w:ind w:left="1984" w:right="0" w:firstLine="0"/>
      <w:spacing w:after="57"/>
    </w:pPr>
  </w:style>
  <w:style w:type="paragraph" w:styleId="819">
    <w:name w:val="toc 9"/>
    <w:basedOn w:val="822"/>
    <w:next w:val="822"/>
    <w:uiPriority w:val="39"/>
    <w:unhideWhenUsed/>
    <w:pPr>
      <w:ind w:left="2268" w:right="0" w:firstLine="0"/>
      <w:spacing w:after="57"/>
    </w:pPr>
  </w:style>
  <w:style w:type="paragraph" w:styleId="820">
    <w:name w:val="TOC Heading"/>
    <w:uiPriority w:val="39"/>
    <w:unhideWhenUsed/>
  </w:style>
  <w:style w:type="paragraph" w:styleId="821">
    <w:name w:val="table of figures"/>
    <w:basedOn w:val="822"/>
    <w:next w:val="822"/>
    <w:uiPriority w:val="99"/>
    <w:unhideWhenUsed/>
    <w:pPr>
      <w:spacing w:after="0" w:afterAutospacing="0"/>
    </w:pPr>
  </w:style>
  <w:style w:type="paragraph" w:styleId="822" w:default="1">
    <w:name w:val="Normal"/>
    <w:qFormat/>
  </w:style>
  <w:style w:type="table" w:styleId="823" w:default="1">
    <w:name w:val="Normal Table"/>
    <w:uiPriority w:val="99"/>
    <w:semiHidden/>
    <w:unhideWhenUsed/>
    <w:tblPr>
      <w:tblInd w:w="0" w:type="dxa"/>
      <w:tblCellMar>
        <w:left w:w="108" w:type="dxa"/>
        <w:top w:w="0" w:type="dxa"/>
        <w:right w:w="108" w:type="dxa"/>
        <w:bottom w:w="0" w:type="dxa"/>
      </w:tblCellMar>
    </w:tblPr>
  </w:style>
  <w:style w:type="numbering" w:styleId="824" w:default="1">
    <w:name w:val="No List"/>
    <w:uiPriority w:val="99"/>
    <w:semiHidden/>
    <w:unhideWhenUsed/>
  </w:style>
  <w:style w:type="paragraph" w:styleId="825">
    <w:name w:val="No Spacing"/>
    <w:basedOn w:val="822"/>
    <w:qFormat/>
    <w:uiPriority w:val="1"/>
    <w:pPr>
      <w:spacing w:lineRule="auto" w:line="240" w:after="0"/>
    </w:pPr>
  </w:style>
  <w:style w:type="paragraph" w:styleId="826">
    <w:name w:val="List Paragraph"/>
    <w:basedOn w:val="822"/>
    <w:qFormat/>
    <w:uiPriority w:val="34"/>
    <w:pPr>
      <w:contextualSpacing w:val="true"/>
      <w:ind w:left="720"/>
    </w:pPr>
  </w:style>
  <w:style w:type="character" w:styleId="82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creativecommons.org/licenses/by-sa/4.0/deed.de" TargetMode="External"/><Relationship Id="rId12" Type="http://schemas.openxmlformats.org/officeDocument/2006/relationships/hyperlink" Target="https://telucation.tugraz.at/2019/11/17/04-similarity-check-tu-graz/" TargetMode="External"/><Relationship Id="rId13" Type="http://schemas.openxmlformats.org/officeDocument/2006/relationships/hyperlink" Target="https://tu4u.tugraz.at/bedienstete/lehre/studienabschluss/plagiatspruefung/" TargetMode="External"/><Relationship Id="rId14"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TeachCenter #02 Similarity Check TeachCenter. Plagiatsprüfung im T U Graz TeachCenter</dc:title>
  <dc:subject/>
  <dc:creator>Elisabeth Grün;Katharina Hohla</dc:creator>
  <dc:description/>
  <cp:lastModifiedBy>Gasplmayr, Katharina (katharina.gasplmayr@tugraz.at)</cp:lastModifiedBy>
  <cp:revision>20</cp:revision>
  <dcterms:modified xsi:type="dcterms:W3CDTF">2021-07-23T08:32:19Z</dcterms:modified>
</cp:coreProperties>
</file>