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8"/>
        <w:outlineLvl w:val="0"/>
      </w:pPr>
      <w:r>
        <w:t xml:space="preserve">TeachCenter #</w:t>
      </w:r>
      <w:r>
        <w:t xml:space="preserve">06 </w:t>
      </w:r>
      <w:r>
        <w:t xml:space="preserve">Tipps &amp; Tricks zur Gestaltung und Strukturierung Ihres TeachCenter-Kurses: </w:t>
      </w:r>
      <w:r>
        <w:t xml:space="preserve">mit Abschnitten, Textfeldern, Bildern und Aktivitätsabschluss</w:t>
      </w:r>
      <w:r/>
    </w:p>
    <w:tbl>
      <w:tblPr>
        <w:tblStyle w:val="752"/>
        <w:tblW w:w="0" w:type="auto"/>
        <w:tblLook w:val="0480" w:firstRow="0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spacing w:after="198" w:afterAutospacing="0" w:before="200" w:beforeAutospacing="0"/>
              <w:rPr>
                <w:color w:val="000000"/>
                <w:sz w:val="24"/>
              </w:rPr>
              <w:outlineLvl w:val="0"/>
              <w:suppressLineNumbers w:val="0"/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Autorin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spacing w:after="198" w:afterAutospacing="0" w:before="198" w:beforeAutospacing="0"/>
              <w:suppressLineNumbers w:val="0"/>
            </w:pPr>
            <w:r>
              <w:rPr>
                <w:highlight w:val="none"/>
              </w:rPr>
              <w:t xml:space="preserve">Maria</w:t>
            </w:r>
            <w:r>
              <w:rPr>
                <w:highlight w:val="white"/>
              </w:rPr>
              <w:t xml:space="preserve"> </w:t>
            </w:r>
            <w:r>
              <w:rPr>
                <w:highlight w:val="none"/>
              </w:rPr>
              <w:t xml:space="preserve">Haas</w:t>
            </w:r>
            <w:r>
              <w:rPr>
                <w:highlight w:val="none"/>
              </w:rPr>
              <w:t xml:space="preserve"> 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spacing w:after="198" w:afterAutospacing="0" w:before="200" w:beforeAutospacing="0"/>
              <w:rPr>
                <w:color w:val="000000"/>
                <w:sz w:val="24"/>
              </w:rPr>
              <w:suppressLineNumbers w:val="0"/>
            </w:pPr>
            <w:r>
              <w:rPr>
                <w:color w:val="000000" w:themeColor="text1"/>
                <w:sz w:val="24"/>
              </w:rPr>
              <w:t xml:space="preserve">Veröffentlichung</w:t>
            </w:r>
            <w:r>
              <w:rPr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false"/>
              <w:jc w:val="left"/>
              <w:spacing w:lineRule="auto" w:line="276" w:after="198" w:afterAutospacing="0" w:before="200" w:beforeAutospacing="0"/>
              <w:shd w:val="clear" w:fill="auto" w:color="auto"/>
              <w:suppressLineNumbers w:val="0"/>
            </w:pPr>
            <w:r>
              <w:rPr>
                <w:sz w:val="24"/>
              </w:rPr>
              <w:t xml:space="preserve">Dezember </w:t>
            </w:r>
            <w:r>
              <w:rPr>
                <w:sz w:val="24"/>
              </w:rPr>
              <w:t xml:space="preserve">2020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spacing w:after="198" w:afterAutospacing="0" w:before="200" w:beforeAutospacing="0"/>
              <w:rPr>
                <w:color w:val="000000"/>
                <w:sz w:val="24"/>
              </w:rPr>
              <w:suppressLineNumbers w:val="0"/>
            </w:pPr>
            <w:r>
              <w:rPr>
                <w:color w:val="000000" w:themeColor="text1"/>
                <w:sz w:val="24"/>
              </w:rPr>
              <w:t xml:space="preserve">Lizenz</w:t>
            </w:r>
            <w:r>
              <w:rPr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false"/>
              <w:ind w:left="0" w:right="0" w:firstLine="0"/>
              <w:jc w:val="left"/>
              <w:spacing w:lineRule="auto" w:line="276" w:after="198" w:afterAutospacing="0" w:before="200" w:beforeAutospacing="0"/>
              <w:shd w:val="clear" w:fill="auto" w:color="auto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t xml:space="preserve">Lizenziert unter der </w:t>
            </w:r>
            <w:r>
              <w:rPr>
                <w:highlight w:val="white"/>
              </w:rPr>
            </w:r>
            <w:hyperlink r:id="rId11" w:tooltip="CC BY-SA 4.0 " w:history="1">
              <w:r>
                <w:rPr>
                  <w:rStyle w:val="876"/>
                  <w:highlight w:val="white"/>
                </w:rPr>
                <w:t xml:space="preserve">Creative-Commons-Lizenz CC BY-SA 4.0 </w:t>
              </w:r>
            </w:hyperlink>
            <w:r>
              <w:rPr>
                <w:highlight w:val="white"/>
              </w:rPr>
              <w:t xml:space="preserve"> </w:t>
            </w:r>
            <w:r/>
          </w:p>
        </w:tc>
      </w:tr>
    </w:tbl>
    <w:p>
      <w:pPr>
        <w:spacing w:before="363" w:beforeAutospacing="0"/>
        <w:rPr>
          <w:highlight w:val="none"/>
        </w:rPr>
      </w:pPr>
      <w:r>
        <w:t xml:space="preserve">Viele Vortragende an der T U Graz sind mittlerweile im Umgang mit dem TeachCenter versiert, möchten aber ihre Kurse gerne ansprechender oder übersichtlicher gestalten. Obwohl das TeachCenter viele Formatoptionen vorgibt, haben Lehrende zusätzlich weitere M</w:t>
      </w:r>
      <w:r>
        <w:t xml:space="preserve">öglichkeiten, ihre TeachCenter-Kurse besser zu strukturieren und optisch durch einfache Gestaltungselemente aufzuwerten. In diesem Beitrag werden vier davon vorgestellt:</w:t>
      </w:r>
      <w:r/>
    </w:p>
    <w:p>
      <w:pPr>
        <w:pStyle w:val="898"/>
        <w:numPr>
          <w:ilvl w:val="0"/>
          <w:numId w:val="30"/>
        </w:numPr>
      </w:pPr>
      <w:r>
        <w:t xml:space="preserve">Abschnitte</w:t>
      </w:r>
      <w:r/>
    </w:p>
    <w:p>
      <w:pPr>
        <w:pStyle w:val="898"/>
        <w:numPr>
          <w:ilvl w:val="0"/>
          <w:numId w:val="30"/>
        </w:numPr>
      </w:pPr>
      <w:r>
        <w:t xml:space="preserve">Textfelder</w:t>
      </w:r>
      <w:r/>
    </w:p>
    <w:p>
      <w:pPr>
        <w:pStyle w:val="898"/>
        <w:numPr>
          <w:ilvl w:val="0"/>
          <w:numId w:val="30"/>
        </w:numPr>
      </w:pPr>
      <w:r>
        <w:t xml:space="preserve">Bilder</w:t>
      </w:r>
      <w:r/>
    </w:p>
    <w:p>
      <w:pPr>
        <w:pStyle w:val="898"/>
        <w:numPr>
          <w:ilvl w:val="0"/>
          <w:numId w:val="30"/>
        </w:numPr>
      </w:pPr>
      <w:r>
        <w:t xml:space="preserve">Aktivitätsabschluss</w:t>
      </w:r>
      <w:r/>
    </w:p>
    <w:p>
      <w:pPr>
        <w:pStyle w:val="720"/>
        <w:outlineLvl w:val="3"/>
      </w:pPr>
      <w:r>
        <w:t xml:space="preserve">Abschnitte zur Strukturierung nutzen</w:t>
      </w:r>
      <w:r/>
    </w:p>
    <w:p>
      <w:pPr>
        <w:ind w:left="0" w:right="0" w:firstLine="0"/>
        <w:spacing w:after="198" w:afterAutospacing="0" w:before="198" w:beforeAutospacing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Abschnitte sind Bereiche, in denen sich verschiedene TeachCenter Aktivitäten befinden können. Wenn ein TeachCenter-Kurs neu erstellt wird, besteht er aus zwei leeren Abschnitten. Lehrende können diese </w:t>
      </w:r>
      <w:r>
        <w:t xml:space="preserve">umbenennen</w:t>
      </w:r>
      <w:r>
        <w:t xml:space="preserve"> (Klick auf den Namen des Abschnitts) oder beliebig viele neue Abschnitte </w:t>
      </w:r>
      <w:r>
        <w:t xml:space="preserve">hinzufügen</w:t>
      </w:r>
      <w:r>
        <w:t xml:space="preserve"> (am Ende des Kurses: Abschnitt hinzufügen) bzw. löschen (rotes Zahnrad rechts vom Abschnitt &gt; Abschnitt </w:t>
      </w:r>
      <w:r>
        <w:t xml:space="preserve">löschen</w:t>
      </w:r>
      <w:r>
        <w:t xml:space="preserve">).</w:t>
      </w:r>
      <w:r/>
    </w:p>
    <w:p>
      <w:pPr>
        <w:rPr>
          <w:highlight w:val="none"/>
        </w:rPr>
      </w:pPr>
      <w:r>
        <w:rPr>
          <w:highlight w:val="none"/>
        </w:rPr>
        <w:t xml:space="preserve">Info: </w:t>
      </w:r>
      <w:r>
        <w:t xml:space="preserve">Um Ihren TeachCenter-Kurs zu bearbeiten, muss immer zuerst der Bearbeitungsmodus (rechts oben: Kurs bearbeiten &gt; Bearbeiten einschalten) aktiviert werden.</w:t>
      </w:r>
      <w:r>
        <w:rPr>
          <w:highlight w:val="none"/>
        </w:rPr>
      </w:r>
      <w:r/>
    </w:p>
    <w:p>
      <w:r>
        <w:t xml:space="preserve">Der große </w:t>
      </w:r>
      <w:r>
        <w:t xml:space="preserve">Vorteil</w:t>
      </w:r>
      <w:r>
        <w:t xml:space="preserve"> von Abschnitten ist die </w:t>
      </w:r>
      <w:r>
        <w:t xml:space="preserve">Übersichtlichkeit der Kursinhalte</w:t>
      </w:r>
      <w:r>
        <w:t xml:space="preserve"> – sowohl für Lehrende als auch für Studierende.</w:t>
      </w:r>
      <w:r/>
    </w:p>
    <w:p>
      <w:r>
        <w:t xml:space="preserve">Sie haben mehrere Möglichkeiten, um Ihren Kurs durch das Erstellen und Umbenennen von Abschnitten einzuteilen:</w:t>
      </w:r>
      <w:r/>
    </w:p>
    <w:p>
      <w:pPr>
        <w:pStyle w:val="898"/>
        <w:numPr>
          <w:ilvl w:val="0"/>
          <w:numId w:val="32"/>
        </w:numPr>
        <w:contextualSpacing w:val="true"/>
      </w:pPr>
      <w:r>
        <w:t xml:space="preserve">thematisch:</w:t>
      </w:r>
      <w:r>
        <w:t xml:space="preserve"> für jedes behandelte Thema einen Abschnitt erstellen</w:t>
      </w:r>
      <w:r/>
    </w:p>
    <w:p>
      <w:pPr>
        <w:pStyle w:val="898"/>
        <w:numPr>
          <w:ilvl w:val="0"/>
          <w:numId w:val="32"/>
        </w:numPr>
        <w:contextualSpacing w:val="true"/>
      </w:pPr>
      <w:r>
        <w:t xml:space="preserve">nach Teilnehmer:innen: </w:t>
      </w:r>
      <w:r>
        <w:t xml:space="preserve">einen eigenen Abschnitt für jede Gruppe anlegen und diesen nur für die jeweilige Gruppe sichtbar schalten (rotes Zahnrad rechts vom Abschnitt &gt; Abschnitt bearbeiten &gt; Voraussetzungen: betreffende Gruppe auswählen)</w:t>
      </w:r>
      <w:r/>
    </w:p>
    <w:p>
      <w:pPr>
        <w:pStyle w:val="898"/>
        <w:numPr>
          <w:ilvl w:val="0"/>
          <w:numId w:val="32"/>
        </w:numPr>
        <w:contextualSpacing w:val="true"/>
      </w:pPr>
      <w:r>
        <w:t xml:space="preserve">chronologisch:</w:t>
      </w:r>
      <w:r>
        <w:t xml:space="preserve"> für jede Kurswoche einen neuen Abschnitt erstellen</w:t>
      </w:r>
      <w:r/>
    </w:p>
    <w:p>
      <w:pPr>
        <w:contextualSpacing w:val="false"/>
        <w:ind w:left="0" w:firstLine="0"/>
      </w:pPr>
      <w:r>
        <w:rPr>
          <w:highlight w:val="none"/>
        </w:rPr>
        <w:t xml:space="preserve">Tipp:</w:t>
      </w:r>
      <w:r>
        <w:rPr>
          <w:highlight w:val="none"/>
        </w:rPr>
        <w:t xml:space="preserve"> </w:t>
      </w:r>
      <w:r>
        <w:rPr>
          <w:highlight w:val="white"/>
        </w:rPr>
        <w:t xml:space="preserve">Wenn Sie für jede Kurswoche einen neuen Abschnitt erstellen, ordnen Sie die Abschnitte vom neuesten zum ältesten – so müssen Studierende später nicht lange scrollen, um die aktuellen Dokumente und Abgaben zu finden.</w:t>
      </w:r>
      <w:r>
        <w:rPr>
          <w:highlight w:val="none"/>
        </w:rPr>
      </w:r>
      <w:r/>
    </w:p>
    <w:p>
      <w:pPr>
        <w:pStyle w:val="722"/>
      </w:pPr>
      <w:r>
        <w:t xml:space="preserve">Abschnitte verbergen, ausklappen oder einklappen</w:t>
      </w:r>
      <w:r/>
    </w:p>
    <w:p>
      <w:r>
        <w:t xml:space="preserve">Abschnitte können auch verborgen werden (rotes Zahnrad neben dem Abschnitt &gt; Abschnitt verstecken). Verborgene Abschnitte sind für Studierende</w:t>
      </w:r>
      <w:r>
        <w:t xml:space="preserve"> nicht sichtbar</w:t>
      </w:r>
      <w:r>
        <w:t xml:space="preserve"> und für Lehrende ausgegraut, aber bearbeitbar. Durch Klick auf „Alles einklappen“ oder „Alles ausklappen“ rechts oben können alle Abschnitte geöffnet und geschlossen werden.</w:t>
      </w:r>
      <w:r/>
    </w:p>
    <w:p>
      <w:pPr>
        <w:rPr>
          <w:highlight w:val="none"/>
        </w:rPr>
      </w:pPr>
      <w:r>
        <w:rPr>
          <w:highlight w:val="none"/>
        </w:rPr>
        <w:t xml:space="preserve">Tipp: </w:t>
      </w:r>
      <w:r>
        <w:rPr>
          <w:highlight w:val="white"/>
        </w:rPr>
        <w:t xml:space="preserve">Nutzen Sie die „Verstecken“-Funktion, um Ihren TeachCenter-Kurs schon vorab mit Inhalten zu befüllen. Geben Sie die Inhalte während des Semesters nach und nach frei.</w:t>
      </w:r>
      <w:r>
        <w:rPr>
          <w:highlight w:val="none"/>
        </w:rPr>
        <w:t xml:space="preserve"> </w:t>
      </w:r>
      <w:r>
        <w:rPr>
          <w:highlight w:val="white"/>
        </w:rPr>
        <w:t xml:space="preserve">So ist der Kurs am Anfang des Semesters für Studierende nicht überfüllt und bleibt übersichtlich.</w:t>
      </w:r>
      <w:r/>
    </w:p>
    <w:p>
      <w:pPr>
        <w:pStyle w:val="722"/>
      </w:pPr>
      <w:r>
        <w:rPr>
          <w:highlight w:val="white"/>
        </w:rPr>
        <w:t xml:space="preserve">Aktivitäten innerhalb eines Abschnitts einrücken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white"/>
        </w:rPr>
        <w:t xml:space="preserve">Standardmäßig sind Aktivitäten und Dokumente innerhalb eines Abschnitts einfach untereinander aufgelistet und können bei eingeschaltetem Bearbeitungsmodus durch Drag-and-Drop nach oben oder unten verschoben werden. Durch </w:t>
      </w:r>
      <w:r>
        <w:rPr>
          <w:highlight w:val="white"/>
        </w:rPr>
        <w:t xml:space="preserve">Klick auf den roten Pfeil rechts neben der Aktivität</w:t>
      </w:r>
      <w:r>
        <w:rPr>
          <w:highlight w:val="white"/>
        </w:rPr>
        <w:t xml:space="preserve"> oder dem Dokument ist es allerdings auch möglich, die </w:t>
      </w:r>
      <w:r>
        <w:rPr>
          <w:highlight w:val="white"/>
        </w:rPr>
        <w:t xml:space="preserve">Elemente einzurücken</w:t>
      </w:r>
      <w:r>
        <w:rPr>
          <w:highlight w:val="white"/>
        </w:rPr>
        <w:t xml:space="preserve"> und so auch eine horizontale Gliederung einzuführen.</w:t>
      </w:r>
      <w:r>
        <w:rPr>
          <w:highlight w:val="none"/>
        </w:rPr>
      </w:r>
      <w:r/>
    </w:p>
    <w:p>
      <w:pPr>
        <w:pStyle w:val="720"/>
        <w:outlineLvl w:val="3"/>
      </w:pPr>
      <w:r>
        <w:t xml:space="preserve">Textfelder zur Beschreibung nutzen</w:t>
      </w:r>
      <w:r/>
    </w:p>
    <w:p>
      <w:r>
        <w:t xml:space="preserve">Um zu beschreiben, welche Materialien Studierende in einem Abschnitt finden bzw. was mit den Materialien in einem Abschnitt zu tun ist, kann ein Textfeld eingefügt werden (Aktivität oder Material anlegen &gt; Textfeld). Text in einem Textfeld kann im WYSIWYG </w:t>
      </w:r>
      <w:r>
        <w:t xml:space="preserve">(What you see is what you get)-Editor oder im HTML-Editor formatiert werden:</w:t>
      </w:r>
      <w:r/>
    </w:p>
    <w:p>
      <w:pPr>
        <w:pStyle w:val="898"/>
        <w:numPr>
          <w:ilvl w:val="0"/>
          <w:numId w:val="34"/>
        </w:numPr>
      </w:pPr>
      <w:r>
        <w:t xml:space="preserve">unterschiedliche Farben</w:t>
      </w:r>
      <w:r/>
    </w:p>
    <w:p>
      <w:pPr>
        <w:pStyle w:val="898"/>
        <w:numPr>
          <w:ilvl w:val="0"/>
          <w:numId w:val="34"/>
        </w:numPr>
      </w:pPr>
      <w:r>
        <w:t xml:space="preserve">fett/kursiv/unterstrichen</w:t>
      </w:r>
      <w:r/>
    </w:p>
    <w:p>
      <w:pPr>
        <w:pStyle w:val="898"/>
        <w:numPr>
          <w:ilvl w:val="0"/>
          <w:numId w:val="34"/>
        </w:numPr>
      </w:pPr>
      <w:r>
        <w:t xml:space="preserve">mehrere Überschriftenformate</w:t>
      </w:r>
      <w:r/>
    </w:p>
    <w:p>
      <w:pPr>
        <w:pStyle w:val="898"/>
        <w:numPr>
          <w:ilvl w:val="0"/>
          <w:numId w:val="34"/>
        </w:numPr>
      </w:pPr>
      <w:r>
        <w:t xml:space="preserve">Aufzählungszeichen</w:t>
      </w:r>
      <w:r/>
    </w:p>
    <w:p>
      <w:r>
        <w:t xml:space="preserve">Eine </w:t>
      </w:r>
      <w:r>
        <w:t xml:space="preserve">horizontale Linie</w:t>
      </w:r>
      <w:r>
        <w:t xml:space="preserve"> innerhalb eines Textfelds kann eingefügt werden, indem man in den H</w:t>
      </w:r>
      <w:r>
        <w:t xml:space="preserve">TML-Editor wechselt (Pfeil nach unten, dann Klick auf „&lt;/&gt;“) und dort an der gewünschten Stelle „&lt;hr&gt;“ (ohne Anführungszeichen) einfügt.</w:t>
      </w:r>
      <w:r/>
    </w:p>
    <w:p>
      <w:r>
        <w:t xml:space="preserve">Der </w:t>
      </w:r>
      <w:r>
        <w:t xml:space="preserve">Vorteil eines Textfelds</w:t>
      </w:r>
      <w:r>
        <w:t xml:space="preserve"> gegenüber der Abschnittsbeschreibung ist die Flexibilität. Textfelder können einfacher bearbeitet und verschoben werden als eine Abschnittsbeschreibung.</w:t>
      </w:r>
      <w:r/>
    </w:p>
    <w:p>
      <w:r>
        <w:t xml:space="preserve">Der </w:t>
      </w:r>
      <w:r>
        <w:t xml:space="preserve">Vorteil für Studierende</w:t>
      </w:r>
      <w:r>
        <w:t xml:space="preserve"> ist, dass durch eine genaue Beschreibung der Aufgabe oder des Abschnitts in einem Textfeld die Erwartungen an sie klar kommuniziert werden. Außerdem können in Textfeldern Bilder und Icons eingefügt werden.</w:t>
      </w:r>
      <w:r/>
    </w:p>
    <w:p>
      <w:pPr>
        <w:pStyle w:val="720"/>
        <w:outlineLvl w:val="3"/>
      </w:pPr>
      <w:r>
        <w:t xml:space="preserve">Mit Bildern den TeachCenter-Kurs auflockern</w:t>
      </w:r>
      <w:r/>
    </w:p>
    <w:p>
      <w:r>
        <w:t xml:space="preserve">Nutzen Sie die Möglichkeit, Bilder einzufügen, zum Beispiel, um im ersten Abschnitt alle Vortragenden mit Fotos und einer Kurzbeschreibung vorzustellen.</w:t>
      </w:r>
      <w:r/>
    </w:p>
    <w:p>
      <w:pPr>
        <w:rPr>
          <w:highlight w:val="none"/>
        </w:rPr>
      </w:pPr>
      <w:r>
        <w:t xml:space="preserve">Bilder oder Icons können über den </w:t>
      </w:r>
      <w:r>
        <w:t xml:space="preserve">What you see is what you get</w:t>
      </w:r>
      <w:r>
        <w:t xml:space="preserve">-Editor über die Menüleiste in einem </w:t>
      </w:r>
      <w:r>
        <w:t xml:space="preserve">Textfeld eingefügt werde</w:t>
      </w:r>
      <w:r>
        <w:t xml:space="preserve">n.</w:t>
      </w:r>
      <w:r/>
    </w:p>
    <w:p>
      <w:pPr>
        <w:ind w:left="0" w:right="0" w:firstLine="0"/>
        <w:spacing w:after="450" w:before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Wichtig: </w:t>
      </w:r>
      <w:r>
        <w:rPr>
          <w:highlight w:val="white"/>
        </w:rPr>
        <w:t xml:space="preserve">Denken Sie im Sinne der Barrierearmut daran, auch einen Alternativtext für Ihre Bilder anzugeben.</w:t>
      </w:r>
      <w:r/>
    </w:p>
    <w:p>
      <w:pPr>
        <w:pStyle w:val="720"/>
        <w:outlineLvl w:val="3"/>
      </w:pPr>
      <w:r>
        <w:t xml:space="preserve">Den Aktivitätsabschluss verfolgen</w:t>
      </w:r>
      <w:r/>
    </w:p>
    <w:p>
      <w:r>
        <w:t xml:space="preserve">Abschnitte, in denen Studierende mehrere zusammenhängende Aufgaben nacheinander zu erledigen haben, können trotz Benennung der Abschnitte und Beschreibung mit Textfeldern unübersichtlich sein. In diesem Fall kann für den Kurs die</w:t>
      </w:r>
      <w:r>
        <w:t xml:space="preserve"> Abschlussverfolgung</w:t>
      </w:r>
      <w:r>
        <w:t xml:space="preserve"> für alle zukünftig erstellten Aktivitäten aktiviert werden:</w:t>
      </w:r>
      <w:r/>
    </w:p>
    <w:p>
      <w:pPr>
        <w:pStyle w:val="898"/>
        <w:numPr>
          <w:ilvl w:val="0"/>
          <w:numId w:val="36"/>
        </w:numPr>
      </w:pPr>
      <w:r>
        <w:t xml:space="preserve">im Kurs rechts oben: Kurs bearbeiten</w:t>
      </w:r>
      <w:r/>
    </w:p>
    <w:p>
      <w:pPr>
        <w:pStyle w:val="898"/>
        <w:numPr>
          <w:ilvl w:val="0"/>
          <w:numId w:val="36"/>
        </w:numPr>
      </w:pPr>
      <w:r>
        <w:t xml:space="preserve">Einstellungen bearbeiten</w:t>
      </w:r>
      <w:r/>
    </w:p>
    <w:p>
      <w:pPr>
        <w:pStyle w:val="898"/>
        <w:numPr>
          <w:ilvl w:val="0"/>
          <w:numId w:val="36"/>
        </w:numPr>
      </w:pPr>
      <w:r>
        <w:t xml:space="preserve">im Abschnitt Abschlussverfolgung: „Abschlussverfolgung aktivieren: Ja”</w:t>
      </w:r>
      <w:r/>
    </w:p>
    <w:p>
      <w:pPr>
        <w:ind w:left="0" w:right="0" w:firstLine="0"/>
        <w:spacing w:after="198" w:afterAutospacing="0" w:before="198" w:beforeAutospacing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white"/>
        </w:rPr>
        <w:t xml:space="preserve">Nun kann für einzelne Aktivitäten (Aufgaben/Abgaben, Kreuzerlübungen, Dokumente etc.) in den Einstellungen unter Aktivitätsabschluss eingestellt werden, dass der </w:t>
      </w:r>
      <w:r>
        <w:rPr>
          <w:highlight w:val="white"/>
        </w:rPr>
        <w:t xml:space="preserve">Abschluss manuell oder automatisch (z. B. an einem bestimmten Datum) markiert wird</w:t>
      </w:r>
      <w:r>
        <w:rPr>
          <w:highlight w:val="white"/>
        </w:rPr>
        <w:t xml:space="preserve">. Studierende sehen auf der Kurshauptseite nun rechts neben der betreffenden Aktivität ein </w:t>
      </w:r>
      <w:r>
        <w:rPr>
          <w:highlight w:val="white"/>
        </w:rPr>
        <w:t xml:space="preserve">neues Feld, in dem sie ein Häkchen setzen können</w:t>
      </w:r>
      <w:r>
        <w:rPr>
          <w:highlight w:val="white"/>
        </w:rPr>
        <w:t xml:space="preserve">, sobald sie die Aufgabe erledigt haben.</w:t>
      </w:r>
      <w:r/>
    </w:p>
    <w:p>
      <w:pPr>
        <w:ind w:left="0" w:firstLine="0"/>
      </w:pPr>
      <w:r>
        <w:rPr>
          <w:highlight w:val="white"/>
        </w:rPr>
        <w:t xml:space="preserve">Studierende haben dadurch den Vorteil, dass sie genau mitverfolgen können, welche Aufgaben sie schon abgeschlossen haben.</w:t>
      </w:r>
      <w:r>
        <w:rPr>
          <w:highlight w:val="none"/>
        </w:rPr>
      </w:r>
      <w:r/>
    </w:p>
    <w:p>
      <w:pPr>
        <w:ind w:left="0" w:right="0" w:firstLine="0"/>
        <w:spacing w:after="0" w:before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981574" cy="1619249"/>
                <wp:effectExtent l="0" t="0" r="1" b="1"/>
                <wp:docPr id="1" name="" descr="" hidden="false" title="Ansicht der Aktivitätsabschluss-Anzeige für Studierende: Es erscheint neben den Aktivitäten ein grau umrandetes Kästchen. Ein Häkchen ist bereist manuell von dem:der Studierenden in einem Kästchen gesetzt worden, die anderen zwei Kästchen sind noch leer.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 title="Ansicht der Aktivitätsabschluss-Anzeige für Studierende: Es erscheint neben den Aktivitäten ein grau umrandetes Kästchen. Ein Häkchen ist bereist manuell von dem:der Studierenden in einem Kästchen gesetzt worden, die anderen zwei Kästchen sind noch leer.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4981574" cy="1619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92.2pt;height:127.5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pStyle w:val="720"/>
        <w:rPr>
          <w:highlight w:val="none"/>
        </w:rPr>
      </w:pPr>
      <w:r>
        <w:rPr>
          <w:highlight w:val="none"/>
        </w:rPr>
        <w:t xml:space="preserve">Kontaktinformationen</w:t>
      </w:r>
      <w:r>
        <w:rPr>
          <w:highlight w:val="none"/>
        </w:rPr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white"/>
        </w:rPr>
        <w:t xml:space="preserve">Bei Fragen zu den einzelnen</w:t>
      </w:r>
      <w:r>
        <w:rPr>
          <w:highlight w:val="none"/>
        </w:rPr>
        <w:t xml:space="preserve"> </w:t>
      </w:r>
      <w:r>
        <w:rPr>
          <w:highlight w:val="white"/>
        </w:rPr>
        <w:t xml:space="preserve">Gestaltungselementen kontaktieren</w:t>
      </w:r>
      <w:r>
        <w:rPr>
          <w:highlight w:val="none"/>
        </w:rPr>
        <w:t xml:space="preserve"> </w:t>
      </w:r>
      <w:r>
        <w:rPr>
          <w:highlight w:val="white"/>
        </w:rPr>
        <w:t xml:space="preserve">Sie bitte </w:t>
      </w:r>
      <w:hyperlink r:id="rId13" w:tooltip="E-Mail des TeachCenter-Teams" w:history="1">
        <w:r>
          <w:rPr>
            <w:rStyle w:val="876"/>
            <w:highlight w:val="white"/>
          </w:rPr>
          <w:t xml:space="preserve">das TeachCenter-Team</w:t>
        </w:r>
      </w:hyperlink>
      <w:r>
        <w:rPr>
          <w:highlight w:val="white"/>
        </w:rPr>
        <w:t xml:space="preserve">.</w:t>
      </w:r>
      <w:r/>
    </w:p>
    <w:p>
      <w:pPr>
        <w:pStyle w:val="720"/>
        <w:spacing w:before="363" w:before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Sticker zum Beitrag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45469" cy="2337572"/>
                <wp:effectExtent l="0" t="0" r="0" b="0"/>
                <wp:docPr id="2" name="" hidden="false" title="Sticker zum Beitrag: eine Farbpalette mit Pinsel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 title="Sticker zum Beitrag: eine Farbpalette mit Pinsel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2345469" cy="2337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84.7pt;height:184.1pt;rotation:0;" stroked="false">
                <v:path textboxrect="0,0,0,0"/>
                <v:imagedata r:id="rId14" o:title=""/>
              </v:shape>
            </w:pict>
          </mc:Fallback>
        </mc:AlternateConten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2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162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1882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602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322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042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4762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482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20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2" w:hanging="360"/>
      </w:pPr>
      <w:rPr>
        <w:rFonts w:ascii="Arial" w:hAnsi="Arial" w:cs="Arial" w:eastAsia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162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1882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602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322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042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4762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482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20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2" w:hanging="360"/>
      </w:pPr>
      <w:rPr>
        <w:rFonts w:ascii="Arial" w:hAnsi="Arial" w:cs="Arial" w:eastAsia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162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1882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602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322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042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4762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482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202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de-DE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4"/>
    <w:next w:val="894"/>
    <w:link w:val="719"/>
    <w:qFormat/>
    <w:uiPriority w:val="9"/>
    <w:rPr>
      <w:rFonts w:ascii="Arial" w:hAnsi="Arial" w:cs="Arial" w:eastAsia="Arial"/>
      <w:b/>
      <w:sz w:val="40"/>
      <w:szCs w:val="40"/>
    </w:rPr>
    <w:pPr>
      <w:keepLines/>
      <w:keepNext/>
      <w:spacing w:after="200" w:before="4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  <w:outlineLvl w:val="1"/>
    </w:pPr>
  </w:style>
  <w:style w:type="character" w:styleId="719">
    <w:name w:val="Heading 1 Char"/>
    <w:link w:val="718"/>
    <w:uiPriority w:val="9"/>
    <w:rPr>
      <w:b/>
    </w:rPr>
  </w:style>
  <w:style w:type="paragraph" w:styleId="720">
    <w:name w:val="Heading 2"/>
    <w:basedOn w:val="894"/>
    <w:next w:val="894"/>
    <w:link w:val="721"/>
    <w:qFormat/>
    <w:uiPriority w:val="9"/>
    <w:unhideWhenUsed/>
    <w:rPr>
      <w:rFonts w:ascii="Arial" w:hAnsi="Arial" w:cs="Arial" w:eastAsia="Arial"/>
      <w:b/>
      <w:sz w:val="34"/>
    </w:rPr>
    <w:pPr>
      <w:keepLines/>
      <w:keepNext/>
      <w:spacing w:after="200" w:before="360"/>
      <w:outlineLvl w:val="3"/>
    </w:pPr>
  </w:style>
  <w:style w:type="character" w:styleId="721">
    <w:name w:val="Heading 2 Char"/>
    <w:link w:val="720"/>
    <w:uiPriority w:val="9"/>
    <w:rPr>
      <w:b/>
      <w:sz w:val="34"/>
    </w:rPr>
  </w:style>
  <w:style w:type="paragraph" w:styleId="722">
    <w:name w:val="Heading 3"/>
    <w:basedOn w:val="894"/>
    <w:next w:val="894"/>
    <w:link w:val="723"/>
    <w:qFormat/>
    <w:uiPriority w:val="9"/>
    <w:unhideWhenUsed/>
    <w:rPr>
      <w:rFonts w:ascii="Arial" w:hAnsi="Arial" w:cs="Arial" w:eastAsia="Arial"/>
      <w:b/>
      <w:sz w:val="30"/>
      <w:szCs w:val="30"/>
    </w:rPr>
    <w:pPr>
      <w:keepLines/>
      <w:keepNext/>
      <w:spacing w:after="200" w:before="320"/>
      <w:outlineLvl w:val="2"/>
    </w:pPr>
  </w:style>
  <w:style w:type="character" w:styleId="723">
    <w:name w:val="Heading 3 Char"/>
    <w:link w:val="722"/>
    <w:uiPriority w:val="9"/>
    <w:rPr>
      <w:b/>
    </w:rPr>
  </w:style>
  <w:style w:type="paragraph" w:styleId="724">
    <w:name w:val="Heading 4"/>
    <w:basedOn w:val="894"/>
    <w:next w:val="894"/>
    <w:link w:val="7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25">
    <w:name w:val="Heading 4 Char"/>
    <w:link w:val="724"/>
    <w:uiPriority w:val="9"/>
    <w:rPr>
      <w:rFonts w:ascii="Arial" w:hAnsi="Arial" w:cs="Arial" w:eastAsia="Arial"/>
      <w:b/>
      <w:bCs/>
      <w:sz w:val="26"/>
      <w:szCs w:val="26"/>
    </w:rPr>
  </w:style>
  <w:style w:type="paragraph" w:styleId="726">
    <w:name w:val="Heading 5"/>
    <w:basedOn w:val="894"/>
    <w:next w:val="894"/>
    <w:link w:val="72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27">
    <w:name w:val="Heading 5 Char"/>
    <w:link w:val="726"/>
    <w:uiPriority w:val="9"/>
    <w:rPr>
      <w:rFonts w:ascii="Arial" w:hAnsi="Arial" w:cs="Arial" w:eastAsia="Arial"/>
      <w:b/>
      <w:bCs/>
      <w:sz w:val="24"/>
      <w:szCs w:val="24"/>
    </w:rPr>
  </w:style>
  <w:style w:type="paragraph" w:styleId="728">
    <w:name w:val="Heading 6"/>
    <w:basedOn w:val="894"/>
    <w:next w:val="894"/>
    <w:link w:val="7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29">
    <w:name w:val="Heading 6 Char"/>
    <w:link w:val="728"/>
    <w:uiPriority w:val="9"/>
    <w:rPr>
      <w:rFonts w:ascii="Arial" w:hAnsi="Arial" w:cs="Arial" w:eastAsia="Arial"/>
      <w:b/>
      <w:bCs/>
      <w:sz w:val="22"/>
      <w:szCs w:val="22"/>
    </w:rPr>
  </w:style>
  <w:style w:type="paragraph" w:styleId="730">
    <w:name w:val="Heading 7"/>
    <w:basedOn w:val="894"/>
    <w:next w:val="894"/>
    <w:link w:val="73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31">
    <w:name w:val="Heading 7 Char"/>
    <w:link w:val="7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2">
    <w:name w:val="Heading 8"/>
    <w:basedOn w:val="894"/>
    <w:next w:val="894"/>
    <w:link w:val="73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33">
    <w:name w:val="Heading 8 Char"/>
    <w:link w:val="732"/>
    <w:uiPriority w:val="9"/>
    <w:rPr>
      <w:rFonts w:ascii="Arial" w:hAnsi="Arial" w:cs="Arial" w:eastAsia="Arial"/>
      <w:i/>
      <w:iCs/>
      <w:sz w:val="22"/>
      <w:szCs w:val="22"/>
    </w:rPr>
  </w:style>
  <w:style w:type="paragraph" w:styleId="734">
    <w:name w:val="Heading 9"/>
    <w:basedOn w:val="894"/>
    <w:next w:val="894"/>
    <w:link w:val="73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35">
    <w:name w:val="Heading 9 Char"/>
    <w:link w:val="734"/>
    <w:uiPriority w:val="9"/>
    <w:rPr>
      <w:rFonts w:ascii="Arial" w:hAnsi="Arial" w:cs="Arial" w:eastAsia="Arial"/>
      <w:i/>
      <w:iCs/>
      <w:sz w:val="21"/>
      <w:szCs w:val="21"/>
    </w:rPr>
  </w:style>
  <w:style w:type="paragraph" w:styleId="736">
    <w:name w:val="Title"/>
    <w:basedOn w:val="894"/>
    <w:next w:val="894"/>
    <w:link w:val="73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qFormat/>
    <w:uiPriority w:val="11"/>
    <w:rPr>
      <w:sz w:val="24"/>
      <w:szCs w:val="24"/>
    </w:rPr>
    <w:pPr>
      <w:spacing w:after="200" w:before="200"/>
    </w:p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qFormat/>
    <w:uiPriority w:val="29"/>
    <w:rPr>
      <w:i/>
    </w:rPr>
    <w:pPr>
      <w:ind w:left="720" w:right="720"/>
    </w:p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qFormat/>
    <w:uiPriority w:val="30"/>
    <w:rPr>
      <w:i/>
    </w:rPr>
    <w:pPr>
      <w:contextualSpacing w:val="false"/>
      <w:ind w:left="720" w:right="720"/>
      <w:shd w:val="clear" w:color="F2F2F2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rPr>
      <w:sz w:val="24"/>
    </w:rPr>
    <w:pPr>
      <w:jc w:val="center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9">
    <w:name w:val="Caption Char"/>
    <w:link w:val="746"/>
    <w:uiPriority w:val="99"/>
    <w:rPr>
      <w:sz w:val="24"/>
    </w:rPr>
  </w:style>
  <w:style w:type="table" w:styleId="750">
    <w:name w:val="Table Grid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7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9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0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1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2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83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4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5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89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91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92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14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15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16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17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18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19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0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42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3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44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45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46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47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48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56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57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58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59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0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1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2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3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4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5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6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7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8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9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0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1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72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73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74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75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rPr>
      <w:sz w:val="18"/>
    </w:rPr>
    <w:pPr>
      <w:spacing w:lineRule="auto" w:line="240" w:after="40"/>
    </w:p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rPr>
      <w:sz w:val="20"/>
    </w:rPr>
    <w:pPr>
      <w:spacing w:lineRule="auto" w:line="240" w:after="0"/>
    </w:p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rPr>
      <w:sz w:val="24"/>
    </w:rPr>
    <w:pPr>
      <w:ind w:left="0" w:right="0" w:firstLine="0"/>
      <w:spacing w:after="198" w:afterAutospacing="0" w:before="198" w:beforeAutospacing="0"/>
      <w:shd w:val="clear" w:color="FFFFFF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No Spacing"/>
    <w:basedOn w:val="894"/>
    <w:qFormat/>
    <w:uiPriority w:val="1"/>
    <w:pPr>
      <w:spacing w:lineRule="auto" w:line="240" w:after="0"/>
    </w:pPr>
  </w:style>
  <w:style w:type="paragraph" w:styleId="898">
    <w:name w:val="List Paragraph"/>
    <w:basedOn w:val="894"/>
    <w:qFormat/>
    <w:uiPriority w:val="34"/>
    <w:pPr>
      <w:contextualSpacing w:val="true"/>
      <w:ind w:left="720"/>
    </w:pPr>
  </w:style>
  <w:style w:type="character" w:styleId="89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creativecommons.org/licenses/by-sa/4.0/deed.de" TargetMode="External"/><Relationship Id="rId12" Type="http://schemas.openxmlformats.org/officeDocument/2006/relationships/image" Target="media/image1.png"/><Relationship Id="rId13" Type="http://schemas.openxmlformats.org/officeDocument/2006/relationships/hyperlink" Target="mailto:tc@tugraz.at" TargetMode="External"/><Relationship Id="rId14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TeachCenter #06 Tipps &amp; Tricks zur Gestaltung und Strukturierung Ihres TeachCenter-Kurses. mit Abschnitten, Textfeldern, Bildern und Aktivitätsabschluss</dc:title>
  <dc:subject/>
  <dc:creator>Maria Haas</dc:creator>
  <dc:description/>
  <cp:lastModifiedBy>Gasplmayr, Katharina (katharina.gasplmayr@tugraz.at)</cp:lastModifiedBy>
  <cp:revision>36</cp:revision>
  <dcterms:modified xsi:type="dcterms:W3CDTF">2021-07-23T08:45:41Z</dcterms:modified>
</cp:coreProperties>
</file>