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2"/>
      </w:pPr>
      <w:r>
        <w:rPr>
          <w:b/>
        </w:rPr>
        <w:t xml:space="preserve">Tool #05 Matrix: Chat in der Lehre</w:t>
      </w:r>
      <w:r>
        <w:rPr>
          <w:b/>
        </w:rPr>
      </w:r>
      <w:r/>
    </w:p>
    <w:tbl>
      <w:tblPr>
        <w:tblStyle w:val="706"/>
        <w:tblW w:w="0" w:type="auto"/>
        <w:tblLook w:val="0480" w:firstRow="0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W w:w="4677" w:type="dxa"/>
            <w:textDirection w:val="lrTb"/>
            <w:noWrap w:val="false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Autor:innen </w:t>
            </w:r>
            <w:r>
              <w:rPr>
                <w:color w:val="000000" w:themeColor="text1"/>
                <w:sz w:val="24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T U Graz Lehr- und Lerntechnologien</w:t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Veröffentlichung</w:t>
            </w:r>
            <w:r>
              <w:rPr>
                <w:b/>
                <w:color w:val="000000" w:themeColor="text1"/>
                <w:sz w:val="24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September 2021</w:t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Lizenz</w:t>
            </w:r>
            <w:r>
              <w:rPr>
                <w:b/>
                <w:color w:val="000000" w:themeColor="text1"/>
                <w:sz w:val="24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ind w:left="0" w:right="0" w:firstLine="0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sz w:val="24"/>
              </w:rPr>
              <w:t xml:space="preserve">Lizenziert unter der</w:t>
            </w:r>
            <w:r>
              <w:t xml:space="preserve"> </w:t>
            </w:r>
            <w:hyperlink r:id="rId11" w:tooltip="CC BY 4.0" w:history="1">
              <w:r>
                <w:rPr>
                  <w:rStyle w:val="830"/>
                  <w:sz w:val="24"/>
                </w:rPr>
                <w:t xml:space="preserve">Creative-Commons-Lizenz CC BY 4.0</w:t>
              </w:r>
            </w:hyperlink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/>
          </w:p>
        </w:tc>
      </w:tr>
    </w:tbl>
    <w:p>
      <w:pPr>
        <w:contextualSpacing w:val="false"/>
        <w:jc w:val="left"/>
        <w:spacing w:lineRule="auto" w:line="276" w:after="200" w:before="200"/>
        <w:suppressLineNumbers w:val="0"/>
      </w:pPr>
      <w:r>
        <w:t xml:space="preserve">Ab dem Wintersemester 2021/2022 können Lehrende und Studierende </w:t>
      </w:r>
      <w:r/>
      <w:r>
        <w:t xml:space="preserve">der T U Graz in ausgewählten Lehrveranstaltungen während TUbe Livestreams synchron miteinander kommunizieren. Ermöglicht wird </w:t>
      </w:r>
      <w:r/>
      <w:r>
        <w:t xml:space="preserve">dies durch das Open-Source-Chat-Tool „Matrix“.</w:t>
      </w:r>
      <w:r/>
      <w:r/>
      <w:r/>
    </w:p>
    <w:p>
      <w:pPr>
        <w:pStyle w:val="674"/>
        <w:suppressLineNumbers w:val="0"/>
      </w:pPr>
      <w:r>
        <w:t xml:space="preserve">Vorteile von Matrix</w:t>
      </w:r>
      <w:r/>
    </w:p>
    <w:p>
      <w:pPr>
        <w:rPr>
          <w:highlight w:val="none"/>
        </w:rPr>
      </w:pPr>
      <w:r>
        <w:t xml:space="preserve">Der Chat mit Matrix schafft einen wichtigen Rückkanal in den Hörsaal, sodass während </w:t>
      </w:r>
      <w:r/>
      <w:r>
        <w:t xml:space="preserve">eines Livestreams Fragen gestellt werden können oder auf Probleme aufmerksam </w:t>
      </w:r>
      <w:r/>
      <w:r>
        <w:t xml:space="preserve">gemacht werden kann. Auch soll damit die Diskussion zwischen den Studierenden </w:t>
      </w:r>
      <w:r/>
      <w:r>
        <w:t xml:space="preserve">ermöglicht und angeregt werden. Zusätzlich haben Lehrende dank des Chats </w:t>
      </w:r>
      <w:r/>
      <w:r>
        <w:t xml:space="preserve">weniger das Gefühl, bei einem Livestream „ins Leere“ zu sprechen und bekommen </w:t>
      </w:r>
      <w:r>
        <w:t xml:space="preserve">so Rückmeldung von ihrem Auditorium. Studierende erleben ebenso eher ein </w:t>
      </w:r>
      <w:r>
        <w:t xml:space="preserve">Gemeinschaftsgefühl, während sie dem Livestream z. B. von zu Hause aus folgen</w:t>
      </w:r>
      <w:r>
        <w:t xml:space="preserve">.</w:t>
      </w:r>
      <w:r/>
    </w:p>
    <w:p>
      <w:pPr>
        <w:rPr>
          <w:highlight w:val="none"/>
        </w:rPr>
      </w:pPr>
      <w:r>
        <w:rPr>
          <w:highlight w:val="none"/>
        </w:rPr>
        <w:t xml:space="preserve">Manche Vortragenden haben bisher den fehlenden Rückkanal in den Hörsaal selbst </w:t>
      </w:r>
      <w:r>
        <w:rPr>
          <w:highlight w:val="none"/>
        </w:rPr>
        <w:t xml:space="preserve">geschaffen, indem sie parallel zum Livestream eine Videokonferenz eröffneten und </w:t>
      </w:r>
      <w:r>
        <w:rPr>
          <w:highlight w:val="none"/>
        </w:rPr>
        <w:t xml:space="preserve">Studierende gleichzeitig den Livestream und ein Webex- oder BigBlueButton-Meeting </w:t>
      </w:r>
      <w:r>
        <w:rPr>
          <w:highlight w:val="none"/>
        </w:rPr>
        <w:t xml:space="preserve">verfolgten und Fragen via Videokonferenz stellen konnten. Informationen zu Räumen an der T U Graz, die speziell für diese Situation ausgestattet sind, finden Sie im Beitrag </w:t>
      </w:r>
      <w:hyperlink r:id="rId12" w:tooltip="TELucation-Beitrag Didaktik 05" w:history="1">
        <w:r>
          <w:rPr>
            <w:rStyle w:val="830"/>
            <w:highlight w:val="none"/>
          </w:rPr>
          <w:t xml:space="preserve">Didaktik 05 Hybride Lehre mit Videokonferenzanlage</w:t>
        </w:r>
      </w:hyperlink>
      <w:r>
        <w:rPr>
          <w:highlight w:val="none"/>
        </w:rPr>
        <w:t xml:space="preserve">.</w:t>
      </w:r>
      <w:r/>
    </w:p>
    <w:p>
      <w:pPr>
        <w:rPr>
          <w:highlight w:val="none"/>
        </w:rPr>
      </w:pPr>
      <w:r>
        <w:rPr>
          <w:highlight w:val="none"/>
        </w:rPr>
        <w:t xml:space="preserve">Mit dem Chat ist nun die </w:t>
      </w:r>
      <w:r>
        <w:rPr>
          <w:highlight w:val="none"/>
        </w:rPr>
        <w:t xml:space="preserve">gesamte Kommunikation direkt auf einer Seite, nämlich auf TUbe, möglich.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Der Chat spart im Gegensatz zu einer parallel laufenden Videokonferenz an Bandbreite. </w:t>
      </w:r>
      <w:r/>
      <w:r>
        <w:rPr>
          <w:highlight w:val="none"/>
        </w:rPr>
        <w:t xml:space="preserve">Die Hemmschwelle für die Beteiligung ist außerdem bei schriftlicher Kommunikation </w:t>
      </w:r>
      <w:r/>
      <w:r>
        <w:rPr>
          <w:highlight w:val="none"/>
        </w:rPr>
        <w:t xml:space="preserve">niedriger als in einer parallel laufenden Videokonferenz.</w:t>
      </w:r>
      <w:r/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Besonderes Augenmerk wurde auch auf die Sicherheit </w:t>
      </w:r>
      <w:r/>
      <w:r>
        <w:rPr>
          <w:highlight w:val="none"/>
        </w:rPr>
        <w:t xml:space="preserve">und Seriosität gelegt: Matrix-Chats sind Ende-zu-Endeverschlüsselt. Studierende können im Gegensatz zu </w:t>
      </w:r>
      <w:r/>
      <w:r>
        <w:rPr>
          <w:highlight w:val="none"/>
        </w:rPr>
        <w:t xml:space="preserve">z. B. Discord-Servern nur mit ihren Klarnamen und </w:t>
      </w:r>
      <w:r>
        <w:rPr>
          <w:highlight w:val="none"/>
        </w:rPr>
        <w:t xml:space="preserve">den T U Graz online-Zugangsdaten beitreten. Damit </w:t>
      </w:r>
      <w:r>
        <w:rPr>
          <w:highlight w:val="none"/>
        </w:rPr>
        <w:t xml:space="preserve">soll verhindert werden, dass Spaßnamen vergeben </w:t>
      </w:r>
      <w:r/>
      <w:r>
        <w:rPr>
          <w:highlight w:val="none"/>
        </w:rPr>
        <w:t xml:space="preserve">und unseriöse Mitteilungen anonym gesendet werden. </w:t>
      </w:r>
      <w:r/>
      <w:r>
        <w:rPr>
          <w:highlight w:val="none"/>
        </w:rPr>
        <w:t xml:space="preserve">Lehrende haben außerdem standardmäßig eine </w:t>
      </w:r>
      <w:r/>
      <w:r>
        <w:rPr>
          <w:highlight w:val="none"/>
        </w:rPr>
        <w:t xml:space="preserve">Moderator:innen-Rolle, die es erlaubt, Beiträge zu </w:t>
      </w:r>
      <w:r/>
      <w:r>
        <w:rPr>
          <w:highlight w:val="none"/>
        </w:rPr>
        <w:t xml:space="preserve">moderieren und wenn nötig auch zu entfernen.</w:t>
      </w:r>
      <w:r/>
      <w:r>
        <w:rPr>
          <w:highlight w:val="none"/>
        </w:rPr>
      </w:r>
      <w:r>
        <w:rPr>
          <w:highlight w:val="none"/>
        </w:rPr>
      </w:r>
    </w:p>
    <w:p>
      <w:pPr>
        <w:pStyle w:val="674"/>
        <w:rPr>
          <w:highlight w:val="none"/>
        </w:rPr>
      </w:pPr>
      <w:r>
        <w:rPr>
          <w:highlight w:val="none"/>
        </w:rPr>
        <w:t xml:space="preserve">Zugang zu Matrix für Lehrende und Studierende</w:t>
      </w:r>
      <w:r>
        <w:rPr>
          <w:highlight w:val="none"/>
        </w:rPr>
      </w:r>
    </w:p>
    <w:p>
      <w:pPr>
        <w:rPr>
          <w:highlight w:val="none"/>
        </w:rPr>
      </w:pPr>
      <w:r>
        <w:t xml:space="preserve">Lehrende können einen Livechat mit Matrix im Zuge der Anmeldung </w:t>
      </w:r>
      <w:r>
        <w:t xml:space="preserve">von Livestreaming einrichten lassen. Füllen Sie dafür das </w:t>
      </w:r>
      <w:hyperlink r:id="rId13" w:tooltip="Online-Formular für TUbe Services" w:history="1">
        <w:r>
          <w:rPr>
            <w:rStyle w:val="830"/>
          </w:rPr>
          <w:t xml:space="preserve">TUbe Services-Antragsformular</w:t>
        </w:r>
      </w:hyperlink>
      <w:r>
        <w:t xml:space="preserve"> aus und haken Sie die Checkbox „Matrix“ an</w:t>
      </w:r>
      <w:r>
        <w:t xml:space="preserve">.</w:t>
      </w:r>
      <w:r/>
    </w:p>
    <w:p>
      <w:pPr>
        <w:rPr>
          <w:highlight w:val="none"/>
        </w:rPr>
      </w:pPr>
      <w:r>
        <w:rPr>
          <w:highlight w:val="none"/>
        </w:rPr>
        <w:t xml:space="preserve">Lehrende haben automatisch Moderator:innen-Rechte im Chat und können noch weitere </w:t>
      </w:r>
      <w:r/>
      <w:r>
        <w:rPr>
          <w:highlight w:val="none"/>
        </w:rPr>
        <w:t xml:space="preserve">Einstellungen am Chatraum vornehmen, bevor der Livestream beginnt. Eine Anleitung dazu </w:t>
      </w:r>
      <w:r/>
      <w:r>
        <w:rPr>
          <w:highlight w:val="none"/>
        </w:rPr>
        <w:t xml:space="preserve">finden Sie demnächst auf der TELucation-Website</w:t>
      </w:r>
      <w:r/>
      <w:r>
        <w:rPr>
          <w:highlight w:val="none"/>
        </w:rPr>
        <w:t xml:space="preserve">.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Studierenden wird automatisch die Teilnehmer:innen-Rolle im Chat zugewiesen, sie haben </w:t>
      </w:r>
      <w:r/>
      <w:r>
        <w:rPr>
          <w:highlight w:val="none"/>
        </w:rPr>
        <w:t xml:space="preserve">damit weniger Rechte als Lehrende</w:t>
      </w:r>
      <w:r/>
      <w:r>
        <w:rPr>
          <w:highlight w:val="none"/>
        </w:rPr>
        <w:t xml:space="preserve">. </w:t>
      </w: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Studierende öffnen wie gewohnt den TUbe-Livestream und finden dort dann auch den </w:t>
      </w:r>
      <w:r>
        <w:rPr>
          <w:highlight w:val="none"/>
        </w:rPr>
        <w:t xml:space="preserve">Chatraum. Die grundlegenden Funktionen von Matrix sollten für Studierende, die andere </w:t>
      </w:r>
      <w:r>
        <w:rPr>
          <w:highlight w:val="none"/>
        </w:rPr>
        <w:t xml:space="preserve">Chattools kennen, selbsterklärend sein.</w:t>
      </w:r>
      <w:r/>
    </w:p>
    <w:p>
      <w:pPr>
        <w:pStyle w:val="674"/>
        <w:rPr>
          <w:highlight w:val="none"/>
        </w:rPr>
      </w:pPr>
      <w:r>
        <w:rPr>
          <w:highlight w:val="none"/>
        </w:rPr>
        <w:t xml:space="preserve">Anwendungsbeispiele von Matrix bei Livestreams</w:t>
      </w:r>
      <w:r>
        <w:rPr>
          <w:highlight w:val="none"/>
        </w:rPr>
      </w:r>
    </w:p>
    <w:p>
      <w:pPr>
        <w:pStyle w:val="676"/>
      </w:pPr>
      <w:r>
        <w:rPr>
          <w:highlight w:val="none"/>
        </w:rPr>
        <w:t xml:space="preserve">Fragen stellen</w:t>
      </w:r>
      <w:r/>
    </w:p>
    <w:p>
      <w:r>
        <w:t xml:space="preserve">Matrix ist eine niederschwellige Möglichkeit, Fragen zur Lehrveranstaltung </w:t>
      </w:r>
      <w:r/>
      <w:r>
        <w:t xml:space="preserve">zu stellen, ohne sich laut zu Wort melden zu müssen. Außerdem kann </w:t>
      </w:r>
      <w:r/>
      <w:r>
        <w:t xml:space="preserve">im Chat durch Markieren und Zitieren von anderen Personen Bezug auf </w:t>
      </w:r>
      <w:r/>
      <w:r>
        <w:t xml:space="preserve">Antworten oder Fragen genommen werden, während der Stream weiterläuft.</w:t>
      </w:r>
      <w:r/>
    </w:p>
    <w:p>
      <w:r>
        <w:t xml:space="preserve">Studierende können Fragen und Antworten nach der Lehrveranstaltung </w:t>
      </w:r>
      <w:r/>
      <w:r>
        <w:t xml:space="preserve">nachlesen. Bitten Sie Studierende, sich auch gegenseitig im Chat zu </w:t>
      </w:r>
      <w:r/>
      <w:r>
        <w:t xml:space="preserve">helfen, indem sie auf Fragen ihrer Kolleg:innen antworten oder Beiträge </w:t>
      </w:r>
      <w:r/>
      <w:r>
        <w:t xml:space="preserve">kommentieren</w:t>
      </w:r>
      <w:r/>
      <w:r>
        <w:t xml:space="preserve">.</w:t>
      </w:r>
      <w:r/>
    </w:p>
    <w:p>
      <w:pPr>
        <w:pStyle w:val="676"/>
      </w:pPr>
      <w:r>
        <w:rPr>
          <w:highlight w:val="none"/>
        </w:rPr>
        <w:t xml:space="preserve">Organisatorisches klären</w:t>
      </w:r>
      <w:r/>
    </w:p>
    <w:p>
      <w:r>
        <w:t xml:space="preserve">Am Anfang der Lehrveranstaltung bzw. des Streams können Sie Informationen zum Ablauf (z. B. Themen, Pausenzeiten) oder Kommunikationsregeln in den Chat posten. Stellen Sie ein, dass später Eintretende den </w:t>
      </w:r>
      <w:r/>
      <w:r>
        <w:t xml:space="preserve">Chatverlauf nachlesen dürfen. Studierende, die zu spät kommen, haben </w:t>
      </w:r>
      <w:r/>
      <w:r>
        <w:t xml:space="preserve">so trotzdem alle notwendigen Informationen, ohne dass Sie etwas </w:t>
      </w:r>
      <w:r/>
      <w:r>
        <w:t xml:space="preserve">wiederholen müssen.</w:t>
      </w:r>
      <w:r/>
      <w:r/>
      <w:r/>
    </w:p>
    <w:p>
      <w:pPr>
        <w:pStyle w:val="676"/>
      </w:pPr>
      <w:r>
        <w:rPr>
          <w:highlight w:val="none"/>
        </w:rPr>
        <w:t xml:space="preserve">Auf Probleme aufmerksam machen</w:t>
      </w:r>
      <w:r/>
    </w:p>
    <w:p>
      <w:r>
        <w:rPr>
          <w:highlight w:val="none"/>
        </w:rPr>
        <w:t xml:space="preserve">Studierende können im Chat auf Probleme aufmerksam machen, z. B. </w:t>
      </w:r>
      <w:r/>
      <w:r>
        <w:rPr>
          <w:highlight w:val="none"/>
        </w:rPr>
        <w:t xml:space="preserve">wenn das Tafelbild nicht gut lesbar oder das Mikrofon zu leise ist. Dafür </w:t>
      </w:r>
      <w:r>
        <w:rPr>
          <w:highlight w:val="none"/>
        </w:rPr>
        <w:t xml:space="preserve">ist es allerdings wichtig, dass Sie oder eine andere moderierende Person </w:t>
      </w:r>
      <w:r>
        <w:rPr>
          <w:highlight w:val="none"/>
        </w:rPr>
        <w:t xml:space="preserve">den Chat zu jeder Zeit verfolgen, um schnell reagieren zu können</w:t>
      </w:r>
      <w:r/>
      <w:r>
        <w:rPr>
          <w:highlight w:val="none"/>
        </w:rPr>
      </w:r>
      <w:r/>
    </w:p>
    <w:p>
      <w:pPr>
        <w:pStyle w:val="676"/>
      </w:pPr>
      <w:r>
        <w:rPr>
          <w:highlight w:val="none"/>
        </w:rPr>
        <w:t xml:space="preserve">Schnelle Umfragen</w:t>
      </w:r>
      <w:r/>
    </w:p>
    <w:p>
      <w:r>
        <w:t xml:space="preserve">Im Matrix-Chat können „Blitzumfragen“ durchgeführt werden, ohne vorher </w:t>
      </w:r>
      <w:r/>
      <w:r>
        <w:t xml:space="preserve">eine Umfrage in feedbackr oder Ähnlichem anlegen zu müssen. Stellen Sie </w:t>
      </w:r>
      <w:r/>
      <w:r>
        <w:t xml:space="preserve">eine Frage oder geben Sie einen Input - Studierende tippen dann möglichst </w:t>
      </w:r>
      <w:r/>
      <w:r>
        <w:t xml:space="preserve">spontan und gleichzeitig ihre Antworten auf die Frage oder Assoziationen </w:t>
      </w:r>
      <w:r/>
      <w:r>
        <w:t xml:space="preserve">zum Thema ein.</w:t>
      </w:r>
      <w:r/>
      <w:r/>
      <w:r/>
    </w:p>
    <w:p>
      <w:pPr>
        <w:pStyle w:val="676"/>
        <w:rPr>
          <w:highlight w:val="none"/>
        </w:rPr>
      </w:pPr>
      <w:r>
        <w:rPr>
          <w:highlight w:val="none"/>
        </w:rPr>
      </w:r>
      <w:r/>
      <w:r>
        <w:rPr>
          <w:highlight w:val="none"/>
        </w:rPr>
        <w:t xml:space="preserve">Weiterführende Links posten</w:t>
      </w:r>
      <w:r/>
    </w:p>
    <w:p>
      <w:r>
        <w:t xml:space="preserve">Im Matrix-Chat können Lehrende und Studierende auch Links auf vertiefende </w:t>
      </w:r>
      <w:r/>
      <w:r>
        <w:t xml:space="preserve">oder weiterführende Ressourcen teilen. Diese stehen dann so lange wie der </w:t>
      </w:r>
      <w:r/>
      <w:r>
        <w:t xml:space="preserve">Chatverlauf zur Verfügung. Auch Studierende können sich aktiv einbringen </w:t>
      </w:r>
      <w:r/>
      <w:r>
        <w:t xml:space="preserve">und selbst nützliche Ressourcen mit anderen teilen.</w:t>
      </w:r>
      <w:r/>
      <w:r/>
      <w:r/>
    </w:p>
    <w:p>
      <w:pPr>
        <w:pStyle w:val="676"/>
      </w:pPr>
      <w:r>
        <w:t xml:space="preserve">Nachlesen</w:t>
      </w:r>
      <w:r/>
    </w:p>
    <w:p>
      <w:r>
        <w:t xml:space="preserve">Der Chatverlauf bleibt auch nach dem Livestream erhalten. Studierende, die </w:t>
      </w:r>
      <w:r/>
      <w:r>
        <w:t xml:space="preserve">die Einheit verpasst haben und die Aufzeichnung ansehen, können im Chat </w:t>
      </w:r>
      <w:r/>
      <w:r>
        <w:t xml:space="preserve">mitlesen und erhalten so vielleicht noch zusätzliche Informationen bzw. </w:t>
      </w:r>
      <w:r/>
      <w:r>
        <w:t xml:space="preserve">hätten ähnliche Fragen, die damit beantwortet werden.</w:t>
      </w:r>
      <w:r/>
    </w:p>
    <w:p>
      <w:pPr>
        <w:rPr>
          <w:highlight w:val="none"/>
        </w:rPr>
      </w:pPr>
      <w:r>
        <w:t xml:space="preserve">Auch Sie als Lehrende:r können den Chat in Ruhe nachlesen und eventuell </w:t>
      </w:r>
      <w:r/>
      <w:r>
        <w:t xml:space="preserve">wichtige Fragen und Antworten noch einmal zusammenfassen und als Text, </w:t>
      </w:r>
      <w:r/>
      <w:r>
        <w:t xml:space="preserve">Dokument oder kurzes Erklärvideo im TeachCenter zur Verfügung stellen </w:t>
      </w:r>
      <w:r/>
      <w:r>
        <w:t xml:space="preserve">oder zu Beginn der nächsten Einheit aufgreifen.</w:t>
      </w:r>
      <w:r/>
      <w:r/>
      <w:r/>
    </w:p>
    <w:p>
      <w:pPr>
        <w:pStyle w:val="674"/>
      </w:pPr>
      <w:r>
        <w:rPr>
          <w:highlight w:val="none"/>
        </w:rPr>
        <w:t xml:space="preserve">Herausforderungen beim Einsatz eines Chattools</w:t>
      </w:r>
      <w:r>
        <w:rPr>
          <w:highlight w:val="none"/>
        </w:rPr>
      </w:r>
    </w:p>
    <w:p>
      <w:pPr>
        <w:rPr>
          <w:highlight w:val="none"/>
        </w:rPr>
      </w:pPr>
      <w:r>
        <w:t xml:space="preserve">Während dem eigenen Vortrag ist es herausfordernd, zusätzlich dem Chatverlauf zu folgen </w:t>
      </w:r>
      <w:r/>
      <w:r>
        <w:t xml:space="preserve">und darauf einzugehen. Planen Sie daher wie in einer Videokonferenz entweder Pausen zur </w:t>
      </w:r>
      <w:r/>
      <w:r>
        <w:t xml:space="preserve">Beantwortung von Fragen aus dem Chat ein oder engagieren Sie Studienassistent:innen </w:t>
      </w:r>
      <w:r/>
      <w:r>
        <w:t xml:space="preserve">oder Studierende aus der Runde vor Ort, die den Chat verfolgen und Fragen beantworten </w:t>
      </w:r>
      <w:r/>
      <w:r>
        <w:t xml:space="preserve">oder laut stellen.</w:t>
      </w:r>
      <w:r/>
      <w:r/>
      <w:r/>
    </w:p>
    <w:p>
      <w:pPr>
        <w:rPr>
          <w:highlight w:val="none"/>
        </w:rPr>
      </w:pPr>
      <w:r>
        <w:rPr>
          <w:highlight w:val="none"/>
        </w:rPr>
        <w:t xml:space="preserve">Bei einem Livestream ist außerdem die Zeitverzögerung zu bedenken, die dadurch noch </w:t>
      </w:r>
      <w:r/>
      <w:r>
        <w:rPr>
          <w:highlight w:val="none"/>
        </w:rPr>
        <w:t xml:space="preserve">verstärkt wird, dass Studierende ihre Frage erst eintippen müssen. Es kann also sein, dass es </w:t>
      </w:r>
      <w:r/>
      <w:r>
        <w:rPr>
          <w:highlight w:val="none"/>
        </w:rPr>
        <w:t xml:space="preserve">mehrere parallele Gesprächsstränge gibt, die der:die Moderator:in im Auge behalten </w:t>
      </w:r>
      <w:r/>
      <w:r>
        <w:rPr>
          <w:highlight w:val="none"/>
        </w:rPr>
        <w:t xml:space="preserve">und verfolgen muss</w:t>
      </w:r>
      <w:r/>
      <w:r>
        <w:rPr>
          <w:highlight w:val="none"/>
        </w:rPr>
        <w:t xml:space="preserve">.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Wird die sogenannte Netiquette, also die vorab definierten Verhaltensregeln im Chat, nicht </w:t>
      </w:r>
      <w:r>
        <w:rPr>
          <w:highlight w:val="none"/>
        </w:rPr>
        <w:t xml:space="preserve">eingehalten, müssen Moderator:innen eingreifen. Machen Sie Studierende zuerst höflich auf </w:t>
      </w:r>
      <w:r>
        <w:rPr>
          <w:highlight w:val="none"/>
        </w:rPr>
        <w:t xml:space="preserve">die vereinbarten Regeln aufmerksam. Im wiederholten Falle können Moderator:innen auch </w:t>
      </w:r>
      <w:r>
        <w:rPr>
          <w:highlight w:val="none"/>
        </w:rPr>
        <w:t xml:space="preserve">die unerlaubten Nachrichten löschen oder User:innen aus dem Chatraum entfernen.</w:t>
      </w:r>
      <w:r>
        <w:rPr>
          <w:highlight w:val="none"/>
        </w:rPr>
        <w:t xml:space="preserve"> </w:t>
      </w:r>
      <w:r>
        <w:rPr>
          <w:highlight w:val="none"/>
        </w:rPr>
        <w:t xml:space="preserve">Mehr Informationen zur Netiquette finden Sie im </w:t>
      </w:r>
      <w:hyperlink r:id="rId14" w:tooltip="Download-Seite des Ratgebers Internet sicher nutzen" w:history="1">
        <w:r>
          <w:rPr>
            <w:rStyle w:val="830"/>
            <w:highlight w:val="none"/>
          </w:rPr>
          <w:t xml:space="preserve">Ratgeber </w:t>
        </w:r>
        <w:r>
          <w:rPr>
            <w:rStyle w:val="830"/>
          </w:rPr>
        </w:r>
        <w:r>
          <w:rPr>
            <w:rStyle w:val="830"/>
            <w:highlight w:val="none"/>
          </w:rPr>
          <w:t xml:space="preserve">„Internet sicher nutzen“, Kapitel „Kommunikation im Netz“</w:t>
        </w:r>
      </w:hyperlink>
      <w:r>
        <w:rPr>
          <w:highlight w:val="none"/>
        </w:rPr>
        <w:t xml:space="preserve">.</w:t>
      </w:r>
      <w:r/>
    </w:p>
    <w:p>
      <w:pPr>
        <w:pStyle w:val="674"/>
      </w:pPr>
      <w:r>
        <w:rPr>
          <w:rStyle w:val="675"/>
        </w:rPr>
        <w:t xml:space="preserve">Sticker zum Beitrag</w:t>
      </w:r>
      <w:r>
        <w:rPr>
          <w:rStyle w:val="675"/>
        </w:rPr>
      </w:r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854665" cy="2163536"/>
                <wp:effectExtent l="0" t="0" r="0" b="0"/>
                <wp:docPr id="1" name="" hidden="false" title="Sticker zum Beitrag: ein Lehrender, der vor einer Tafel steht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 title="Sticker zum Beitrag: ein Lehrender, der vor einer Tafel steht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rot="0" flipH="0" flipV="0">
                          <a:off x="0" y="0"/>
                          <a:ext cx="2854665" cy="2163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24.8pt;height:170.4pt;rotation:0;" stroked="false">
                <v:path textboxrect="0,0,0,0"/>
                <v:imagedata r:id="rId15" o:title=""/>
              </v:shape>
            </w:pict>
          </mc:Fallback>
        </mc:AlternateContent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jc w:val="center"/>
    </w:pPr>
    <w:fldSimple w:instr="PAGE \* MERGEFORMAT">
      <w:r>
        <w:t xml:space="preserve">1</w:t>
      </w:r>
    </w:fldSimple>
    <w:r/>
    <w:r/>
  </w:p>
  <w:p>
    <w:pPr>
      <w:pStyle w:val="7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de-DE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8"/>
    <w:next w:val="848"/>
    <w:link w:val="673"/>
    <w:qFormat/>
    <w:uiPriority w:val="9"/>
    <w:rPr>
      <w:rFonts w:ascii="Arial" w:hAnsi="Arial" w:cs="Arial" w:eastAsia="Arial"/>
      <w:b/>
      <w:sz w:val="40"/>
      <w:szCs w:val="40"/>
    </w:rPr>
    <w:pPr>
      <w:keepLines/>
      <w:keepNext/>
      <w:spacing w:after="200" w:before="480"/>
      <w:outlineLvl w:val="0"/>
    </w:pPr>
  </w:style>
  <w:style w:type="character" w:styleId="673">
    <w:name w:val="Heading 1 Char"/>
    <w:link w:val="672"/>
    <w:uiPriority w:val="9"/>
    <w:rPr>
      <w:b/>
    </w:rPr>
  </w:style>
  <w:style w:type="paragraph" w:styleId="674">
    <w:name w:val="Heading 2"/>
    <w:basedOn w:val="848"/>
    <w:next w:val="848"/>
    <w:link w:val="675"/>
    <w:qFormat/>
    <w:uiPriority w:val="9"/>
    <w:unhideWhenUsed/>
    <w:rPr>
      <w:rFonts w:ascii="Arial" w:hAnsi="Arial" w:cs="Arial" w:eastAsia="Arial"/>
      <w:b/>
      <w:sz w:val="34"/>
    </w:rPr>
    <w:pPr>
      <w:keepLines/>
      <w:keepNext/>
      <w:spacing w:after="200" w:before="360"/>
      <w:outlineLvl w:val="1"/>
      <w:suppressLineNumbers w:val="0"/>
    </w:pPr>
  </w:style>
  <w:style w:type="character" w:styleId="675">
    <w:name w:val="Heading 2 Char"/>
    <w:link w:val="674"/>
    <w:uiPriority w:val="9"/>
    <w:rPr>
      <w:b/>
    </w:rPr>
  </w:style>
  <w:style w:type="paragraph" w:styleId="676">
    <w:name w:val="Heading 3"/>
    <w:basedOn w:val="848"/>
    <w:next w:val="848"/>
    <w:link w:val="677"/>
    <w:qFormat/>
    <w:uiPriority w:val="9"/>
    <w:unhideWhenUsed/>
    <w:rPr>
      <w:rFonts w:ascii="Arial" w:hAnsi="Arial" w:cs="Arial" w:eastAsia="Arial"/>
      <w:b/>
      <w:sz w:val="30"/>
      <w:szCs w:val="30"/>
    </w:rPr>
    <w:pPr>
      <w:keepLines/>
      <w:keepNext/>
      <w:spacing w:after="200" w:before="320"/>
      <w:outlineLvl w:val="2"/>
    </w:pPr>
  </w:style>
  <w:style w:type="character" w:styleId="677">
    <w:name w:val="Heading 3 Char"/>
    <w:link w:val="676"/>
    <w:uiPriority w:val="9"/>
    <w:rPr>
      <w:b/>
    </w:rPr>
  </w:style>
  <w:style w:type="paragraph" w:styleId="678">
    <w:name w:val="Heading 4"/>
    <w:basedOn w:val="848"/>
    <w:next w:val="848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9">
    <w:name w:val="Heading 4 Char"/>
    <w:link w:val="678"/>
    <w:uiPriority w:val="9"/>
    <w:rPr>
      <w:rFonts w:ascii="Arial" w:hAnsi="Arial" w:cs="Arial" w:eastAsia="Arial"/>
      <w:b/>
      <w:bCs/>
      <w:sz w:val="26"/>
      <w:szCs w:val="26"/>
    </w:rPr>
  </w:style>
  <w:style w:type="paragraph" w:styleId="680">
    <w:name w:val="Heading 5"/>
    <w:basedOn w:val="848"/>
    <w:next w:val="848"/>
    <w:link w:val="68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1">
    <w:name w:val="Heading 5 Char"/>
    <w:link w:val="680"/>
    <w:uiPriority w:val="9"/>
    <w:rPr>
      <w:rFonts w:ascii="Arial" w:hAnsi="Arial" w:cs="Arial" w:eastAsia="Arial"/>
      <w:b/>
      <w:bCs/>
      <w:sz w:val="24"/>
      <w:szCs w:val="24"/>
    </w:rPr>
  </w:style>
  <w:style w:type="paragraph" w:styleId="682">
    <w:name w:val="Heading 6"/>
    <w:basedOn w:val="848"/>
    <w:next w:val="848"/>
    <w:link w:val="68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3">
    <w:name w:val="Heading 6 Char"/>
    <w:link w:val="682"/>
    <w:uiPriority w:val="9"/>
    <w:rPr>
      <w:rFonts w:ascii="Arial" w:hAnsi="Arial" w:cs="Arial" w:eastAsia="Arial"/>
      <w:b/>
      <w:bCs/>
      <w:sz w:val="22"/>
      <w:szCs w:val="22"/>
    </w:rPr>
  </w:style>
  <w:style w:type="paragraph" w:styleId="684">
    <w:name w:val="Heading 7"/>
    <w:basedOn w:val="848"/>
    <w:next w:val="848"/>
    <w:link w:val="68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5">
    <w:name w:val="Heading 7 Char"/>
    <w:link w:val="68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6">
    <w:name w:val="Heading 8"/>
    <w:basedOn w:val="848"/>
    <w:next w:val="848"/>
    <w:link w:val="68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7">
    <w:name w:val="Heading 8 Char"/>
    <w:link w:val="686"/>
    <w:uiPriority w:val="9"/>
    <w:rPr>
      <w:rFonts w:ascii="Arial" w:hAnsi="Arial" w:cs="Arial" w:eastAsia="Arial"/>
      <w:i/>
      <w:iCs/>
      <w:sz w:val="22"/>
      <w:szCs w:val="22"/>
    </w:rPr>
  </w:style>
  <w:style w:type="paragraph" w:styleId="688">
    <w:name w:val="Heading 9"/>
    <w:basedOn w:val="848"/>
    <w:next w:val="848"/>
    <w:link w:val="6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9">
    <w:name w:val="Heading 9 Char"/>
    <w:link w:val="688"/>
    <w:uiPriority w:val="9"/>
    <w:rPr>
      <w:rFonts w:ascii="Arial" w:hAnsi="Arial" w:cs="Arial" w:eastAsia="Arial"/>
      <w:i/>
      <w:iCs/>
      <w:sz w:val="21"/>
      <w:szCs w:val="21"/>
    </w:rPr>
  </w:style>
  <w:style w:type="paragraph" w:styleId="690">
    <w:name w:val="Title"/>
    <w:basedOn w:val="848"/>
    <w:next w:val="848"/>
    <w:link w:val="69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qFormat/>
    <w:uiPriority w:val="11"/>
    <w:rPr>
      <w:sz w:val="24"/>
      <w:szCs w:val="24"/>
    </w:rPr>
    <w:pPr>
      <w:spacing w:after="200" w:before="200"/>
    </w:p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qFormat/>
    <w:uiPriority w:val="29"/>
    <w:rPr>
      <w:i/>
    </w:rPr>
    <w:pPr>
      <w:ind w:left="720" w:right="720"/>
    </w:p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qFormat/>
    <w:uiPriority w:val="30"/>
    <w:rPr>
      <w:i/>
    </w:rPr>
    <w:pPr>
      <w:contextualSpacing w:val="false"/>
      <w:ind w:left="720" w:right="720"/>
      <w:shd w:val="clear" w:color="F2F2F2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84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4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4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4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1">
    <w:name w:val="Grid Table 1 Light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4"/>
    <w:basedOn w:val="8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3">
    <w:name w:val="Grid Table 4 - Accent 1"/>
    <w:basedOn w:val="8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4">
    <w:name w:val="Grid Table 4 - Accent 2"/>
    <w:basedOn w:val="8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5">
    <w:name w:val="Grid Table 4 - Accent 3"/>
    <w:basedOn w:val="8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6">
    <w:name w:val="Grid Table 4 - Accent 4"/>
    <w:basedOn w:val="8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7">
    <w:name w:val="Grid Table 4 - Accent 5"/>
    <w:basedOn w:val="8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8">
    <w:name w:val="Grid Table 4 - Accent 6"/>
    <w:basedOn w:val="8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9">
    <w:name w:val="Grid Table 5 Dark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sz="4" w:space="0" w:themeColor="light1"/>
        </w:tcBorders>
      </w:tcPr>
    </w:tblStylePr>
  </w:style>
  <w:style w:type="table" w:styleId="740">
    <w:name w:val="Grid Table 5 Dark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sz="4" w:space="0" w:themeColor="light1"/>
        </w:tcBorders>
      </w:tcPr>
    </w:tblStylePr>
  </w:style>
  <w:style w:type="table" w:styleId="741">
    <w:name w:val="Grid Table 5 Dark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sz="4" w:space="0" w:themeColor="light1"/>
        </w:tcBorders>
      </w:tcPr>
    </w:tblStylePr>
  </w:style>
  <w:style w:type="table" w:styleId="743">
    <w:name w:val="Grid Table 5 Dark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sz="4" w:space="0" w:themeColor="light1"/>
        </w:tcBorders>
      </w:tcPr>
    </w:tblStylePr>
  </w:style>
  <w:style w:type="table" w:styleId="744">
    <w:name w:val="Grid Table 5 Dark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sz="4" w:space="0" w:themeColor="light1"/>
        </w:tcBorders>
      </w:tcPr>
    </w:tblStylePr>
  </w:style>
  <w:style w:type="table" w:styleId="745">
    <w:name w:val="Grid Table 5 Dark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sz="4" w:space="0" w:themeColor="light1"/>
        </w:tcBorders>
      </w:tcPr>
    </w:tblStylePr>
  </w:style>
  <w:style w:type="table" w:styleId="746">
    <w:name w:val="Grid Table 6 Colorful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8">
    <w:name w:val="List Table 2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9">
    <w:name w:val="List Table 2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0">
    <w:name w:val="List Table 2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1">
    <w:name w:val="List Table 2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2">
    <w:name w:val="List Table 2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3">
    <w:name w:val="List Table 2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4">
    <w:name w:val="List Table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6">
    <w:name w:val="List Table 6 Colorful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7">
    <w:name w:val="List Table 6 Colorful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8">
    <w:name w:val="List Table 6 Colorful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9">
    <w:name w:val="List Table 6 Colorful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0">
    <w:name w:val="List Table 6 Colorful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1">
    <w:name w:val="List Table 6 Colorful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2">
    <w:name w:val="List Table 7 Colorful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4">
    <w:name w:val="List Table 7 Colorful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5">
    <w:name w:val="List Table 7 Colorful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6">
    <w:name w:val="List Table 7 Colorful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7">
    <w:name w:val="List Table 7 Colorful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8">
    <w:name w:val="List Table 7 Colorful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9">
    <w:name w:val="Lined - Accent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10">
    <w:name w:val="Lined - Accent 1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11">
    <w:name w:val="Lined - Accent 2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12">
    <w:name w:val="Lined - Accent 3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13">
    <w:name w:val="Lined - Accent 4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14">
    <w:name w:val="Lined - Accent 5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15">
    <w:name w:val="Lined - Accent 6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16">
    <w:name w:val="Bordered &amp; Lined - Accent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17">
    <w:name w:val="Bordered &amp; Lined - Accent 1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18">
    <w:name w:val="Bordered &amp; Lined - Accent 2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19">
    <w:name w:val="Bordered &amp; Lined - Accent 3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20">
    <w:name w:val="Bordered &amp; Lined - Accent 4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21">
    <w:name w:val="Bordered &amp; Lined - Accent 5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22">
    <w:name w:val="Bordered &amp; Lined - Accent 6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23">
    <w:name w:val="Bordered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4">
    <w:name w:val="Bordered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5">
    <w:name w:val="Bordered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6">
    <w:name w:val="Bordered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7">
    <w:name w:val="Bordered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8">
    <w:name w:val="Bordered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9">
    <w:name w:val="Bordered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rPr>
      <w:sz w:val="18"/>
    </w:rPr>
    <w:pPr>
      <w:spacing w:lineRule="auto" w:line="240" w:after="40"/>
    </w:p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rPr>
      <w:sz w:val="20"/>
    </w:rPr>
    <w:pPr>
      <w:spacing w:lineRule="auto" w:line="240" w:after="0"/>
    </w:p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  <w:rPr>
      <w:sz w:val="24"/>
    </w:rPr>
    <w:pPr>
      <w:contextualSpacing w:val="false"/>
      <w:jc w:val="left"/>
      <w:spacing w:lineRule="auto" w:line="276" w:after="200" w:before="200"/>
      <w:suppressLineNumbers w:val="0"/>
    </w:pPr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No Spacing"/>
    <w:basedOn w:val="848"/>
    <w:qFormat/>
    <w:uiPriority w:val="1"/>
    <w:pPr>
      <w:spacing w:lineRule="auto" w:line="240" w:after="0"/>
    </w:pPr>
  </w:style>
  <w:style w:type="paragraph" w:styleId="852">
    <w:name w:val="List Paragraph"/>
    <w:basedOn w:val="848"/>
    <w:qFormat/>
    <w:uiPriority w:val="34"/>
    <w:pPr>
      <w:contextualSpacing w:val="true"/>
      <w:ind w:left="720"/>
    </w:pPr>
  </w:style>
  <w:style w:type="character" w:styleId="85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creativecommons.org/licenses/by/4.0/deed.de" TargetMode="External"/><Relationship Id="rId12" Type="http://schemas.openxmlformats.org/officeDocument/2006/relationships/hyperlink" Target="https://telucation.tugraz.at/2021/02/24/05-hybride-lehre-mit-videokonferenzanlage/" TargetMode="External"/><Relationship Id="rId13" Type="http://schemas.openxmlformats.org/officeDocument/2006/relationships/hyperlink" Target="https://tube.tugraz.at/apply" TargetMode="External"/><Relationship Id="rId14" Type="http://schemas.openxmlformats.org/officeDocument/2006/relationships/hyperlink" Target="https://www.ispa.at/wissenspool/broschueren/broschuere/detailansicht/ratgeber-internet-sicher-nutzen" TargetMode="External"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#05 Matrix: Chat in der Lehre</dc:title>
  <dc:subject/>
  <dc:creator>TU Graz Lehr- und Lerntechnologien</dc:creator>
  <dc:description/>
  <cp:lastModifiedBy>Edelsbrunner, Sarah (sarah.edelsbrunner@tugraz.at)</cp:lastModifiedBy>
  <cp:revision>13</cp:revision>
  <dcterms:modified xsi:type="dcterms:W3CDTF">2021-08-31T13:13:16Z</dcterms:modified>
</cp:coreProperties>
</file>