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2"/>
      </w:pPr>
      <w:r>
        <w:rPr>
          <w:b/>
        </w:rPr>
        <w:t xml:space="preserve">Tool #06 Best-Practice-Beispiel: Einsatz digitaler Medien in Grundlagen-Lehrveranstaltungen</w:t>
      </w:r>
      <w:r/>
    </w:p>
    <w:tbl>
      <w:tblPr>
        <w:tblStyle w:val="716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Autorin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Lisa Obermayer (Institut für Grundlagen und Konstruktion des Entwerfens)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März 2022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</w:rPr>
              <w:t xml:space="preserve">Lizenziert unter der</w:t>
            </w:r>
            <w:r>
              <w:t xml:space="preserve"> </w:t>
            </w:r>
            <w:hyperlink r:id="rId10" w:tooltip="CC BY 4.0" w:history="1">
              <w:r>
                <w:rPr>
                  <w:rStyle w:val="840"/>
                  <w:sz w:val="24"/>
                </w:rPr>
                <w:t xml:space="preserve">Creative-Commons-Lizenz CC BY 4.0</w:t>
              </w:r>
            </w:hyperlink>
            <w:r>
              <w:rPr>
                <w:sz w:val="24"/>
              </w:rPr>
              <w:t xml:space="preserve">. Das Foto aus dem Broadcasting-Studio ist von der CC-BY-Lizenz ausgenommen.</w:t>
            </w:r>
            <w:r>
              <w:rPr>
                <w:sz w:val="24"/>
              </w:rPr>
            </w:r>
            <w:r/>
          </w:p>
        </w:tc>
      </w:tr>
    </w:tbl>
    <w:p>
      <w:pPr>
        <w:contextualSpacing w:val="0"/>
        <w:jc w:val="left"/>
        <w:spacing w:before="200" w:after="200" w:line="276" w:lineRule="auto"/>
        <w:rPr>
          <w:highlight w:val="none"/>
        </w:rPr>
        <w:suppressLineNumbers w:val="0"/>
      </w:pPr>
      <w:r>
        <w:t xml:space="preserve">In diesem Best-Practice-Artikel wird gezeigt, wie am Institut für Grundlagen </w:t>
      </w:r>
      <w:r>
        <w:t xml:space="preserve">der Konstruktion und des Entwerfens unter Kombination von synchroner und </w:t>
      </w:r>
      <w:r>
        <w:t xml:space="preserve">asynchroner Lehre zeitgemäße Blended-Learning-Methoden optimal ihre </w:t>
      </w:r>
      <w:r>
        <w:t xml:space="preserve">Anwendung finden.</w:t>
      </w:r>
      <w:r/>
    </w:p>
    <w:p>
      <w:pPr>
        <w:contextualSpacing w:val="0"/>
        <w:jc w:val="left"/>
        <w:spacing w:before="200" w:after="200" w:line="276" w:lineRule="auto"/>
        <w:suppressLineNumbers w:val="0"/>
      </w:pPr>
      <w:r>
        <w:rPr>
          <w:highlight w:val="none"/>
        </w:rPr>
        <w:t xml:space="preserve">Der didaktische Fokus der Aufgabenstellungen wird auf Kommunikation, Kollaboration </w:t>
      </w:r>
      <w:r>
        <w:rPr>
          <w:highlight w:val="none"/>
        </w:rPr>
        <w:t xml:space="preserve">und zeitgemäße Wissensvermittlung durch den unterstützenden Einsatz digitaler Medien </w:t>
      </w:r>
      <w:r>
        <w:rPr>
          <w:highlight w:val="none"/>
        </w:rPr>
        <w:t xml:space="preserve">sowie auf das Erlangen analoger als auch digitaler Kompetenzen gelegt.</w:t>
      </w:r>
      <w:r/>
    </w:p>
    <w:p>
      <w:pPr>
        <w:contextualSpacing w:val="0"/>
        <w:jc w:val="left"/>
        <w:spacing w:before="200" w:after="200" w:line="276" w:lineRule="auto"/>
        <w:suppressLineNumbers w:val="0"/>
      </w:pPr>
      <w:r>
        <w:rPr>
          <w:highlight w:val="none"/>
        </w:rPr>
        <w:t xml:space="preserve">Im Folgenden wird anhand der eingesetzten Tools das Lehrkonzept genauer beschrieben</w:t>
      </w:r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pStyle w:val="684"/>
        <w:suppressLineNumbers w:val="0"/>
      </w:pPr>
      <w:r>
        <w:t xml:space="preserve">Kurzsteckbrief des Lernsettings</w:t>
      </w:r>
      <w:r/>
    </w:p>
    <w:p>
      <w:pPr>
        <w:pStyle w:val="862"/>
        <w:numPr>
          <w:ilvl w:val="0"/>
          <w:numId w:val="12"/>
        </w:numPr>
      </w:pPr>
      <w:r>
        <w:rPr>
          <w:highlight w:val="none"/>
        </w:rPr>
        <w:t xml:space="preserve">Institut für Grundlagen der Konstruktion und des Entwerfens</w:t>
      </w:r>
      <w:r/>
    </w:p>
    <w:p>
      <w:pPr>
        <w:pStyle w:val="862"/>
        <w:numPr>
          <w:ilvl w:val="0"/>
          <w:numId w:val="12"/>
        </w:numPr>
      </w:pPr>
      <w:r>
        <w:rPr>
          <w:highlight w:val="none"/>
        </w:rPr>
        <w:t xml:space="preserve">Zeitraum: seit Frühling 2020</w:t>
      </w:r>
      <w:r/>
    </w:p>
    <w:p>
      <w:pPr>
        <w:pStyle w:val="862"/>
        <w:numPr>
          <w:ilvl w:val="0"/>
          <w:numId w:val="12"/>
        </w:numPr>
      </w:pPr>
      <w:r>
        <w:rPr>
          <w:highlight w:val="none"/>
        </w:rPr>
        <w:t xml:space="preserve">Lehrveranstaltungen: Vorlesung und Seminar Konstruieren, Seminar Gestalten und Entwerfen</w:t>
      </w:r>
      <w:r/>
    </w:p>
    <w:p>
      <w:pPr>
        <w:pStyle w:val="862"/>
        <w:numPr>
          <w:ilvl w:val="0"/>
          <w:numId w:val="12"/>
        </w:numPr>
      </w:pPr>
      <w:r>
        <w:rPr>
          <w:highlight w:val="none"/>
        </w:rPr>
        <w:t xml:space="preserve">Gruppengröße: 15-180 Studierende</w:t>
      </w:r>
      <w:r/>
    </w:p>
    <w:p>
      <w:pPr>
        <w:pStyle w:val="862"/>
        <w:numPr>
          <w:ilvl w:val="0"/>
          <w:numId w:val="12"/>
        </w:numPr>
      </w:pPr>
      <w:r>
        <w:rPr>
          <w:highlight w:val="none"/>
        </w:rPr>
        <w:t xml:space="preserve">Durchführungsart: hybrid</w:t>
      </w:r>
      <w:r>
        <w:rPr>
          <w:highlight w:val="none"/>
        </w:rPr>
      </w:r>
      <w:r/>
    </w:p>
    <w:p>
      <w:pPr>
        <w:pStyle w:val="684"/>
        <w:rPr>
          <w:highlight w:val="none"/>
        </w:rPr>
      </w:pPr>
      <w:r>
        <w:rPr>
          <w:highlight w:val="none"/>
        </w:rPr>
        <w:t xml:space="preserve">Webex</w:t>
      </w:r>
      <w:r/>
    </w:p>
    <w:p>
      <w:pPr>
        <w:pStyle w:val="686"/>
      </w:pPr>
      <w:r>
        <w:t xml:space="preserve">Verwendung:</w:t>
      </w:r>
      <w:r/>
    </w:p>
    <w:p>
      <w:pPr>
        <w:pStyle w:val="862"/>
        <w:numPr>
          <w:ilvl w:val="0"/>
          <w:numId w:val="13"/>
        </w:numPr>
      </w:pPr>
      <w:r>
        <w:t xml:space="preserve">Kommunikation / Interaktion mit den Studierenden</w:t>
      </w:r>
      <w:r/>
    </w:p>
    <w:p>
      <w:pPr>
        <w:pStyle w:val="862"/>
        <w:numPr>
          <w:ilvl w:val="0"/>
          <w:numId w:val="13"/>
        </w:numPr>
      </w:pPr>
      <w:r>
        <w:t xml:space="preserve">Informationsweitergabe</w:t>
      </w:r>
      <w:r/>
    </w:p>
    <w:p>
      <w:pPr>
        <w:pStyle w:val="862"/>
        <w:numPr>
          <w:ilvl w:val="0"/>
          <w:numId w:val="13"/>
        </w:numPr>
      </w:pPr>
      <w:r>
        <w:t xml:space="preserve">Abhaltung von synchronen Seminareinheiten</w:t>
      </w:r>
      <w:r/>
    </w:p>
    <w:p>
      <w:pPr>
        <w:rPr>
          <w:highlight w:val="none"/>
        </w:rPr>
      </w:pPr>
      <w:r>
        <w:rPr>
          <w:highlight w:val="none"/>
        </w:rPr>
        <w:t xml:space="preserve">Am Anfang des Studienjahres werden alle Studierenden des Jahrgangs in Kleingruppen </w:t>
      </w:r>
      <w:r>
        <w:rPr>
          <w:highlight w:val="none"/>
        </w:rPr>
        <w:t xml:space="preserve">von 15 Personen aufgeteilt. Diese Einteilung wird seminarübergreifend für die Seminare </w:t>
      </w:r>
      <w:r>
        <w:rPr>
          <w:highlight w:val="none"/>
        </w:rPr>
        <w:t xml:space="preserve">Gestalten und Entwerfen sowie Konstruieren auch in Webex übernommen.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In den Webex-Gruppen (Bereichen) werden zusätzlich zu den </w:t>
      </w:r>
      <w:r>
        <w:rPr>
          <w:highlight w:val="none"/>
        </w:rPr>
        <w:t xml:space="preserve">Studierenden die Lehrbeauftragten der beiden Seminare sowie </w:t>
      </w:r>
      <w:r>
        <w:rPr>
          <w:highlight w:val="none"/>
        </w:rPr>
        <w:t xml:space="preserve">je ein:e Studienassistent:in („Buddy“) eingeteilt, die:der </w:t>
      </w:r>
      <w:r>
        <w:rPr>
          <w:highlight w:val="none"/>
        </w:rPr>
        <w:t xml:space="preserve">für technische Fragen zur Verfügung steht.</w:t>
      </w:r>
      <w:r>
        <w:rPr>
          <w:highlight w:val="none"/>
        </w:rPr>
      </w:r>
      <w:r/>
    </w:p>
    <w:p>
      <w:r>
        <w:rPr>
          <w:highlight w:val="none"/>
        </w:rPr>
        <w:t xml:space="preserve">Die Webex-Gruppen werden das ganze Semester zur Kommunikation und Informationsweitergabe des Instituts / der Lehrbeauftragten mit den Studierenden als auch zwischen den </w:t>
      </w:r>
      <w:r>
        <w:rPr>
          <w:highlight w:val="none"/>
        </w:rPr>
        <w:t xml:space="preserve">Studierenden genutzt und können im Falle eines Umstiegs auf rein digitale Lehre auch zur </w:t>
      </w:r>
      <w:r>
        <w:rPr>
          <w:highlight w:val="none"/>
        </w:rPr>
        <w:t xml:space="preserve">Abhaltung von synchronen Seminareinheiten genutzt werden.</w:t>
      </w:r>
      <w:r>
        <w:rPr>
          <w:highlight w:val="none"/>
        </w:rPr>
      </w:r>
      <w:r/>
    </w:p>
    <w:p>
      <w:pPr>
        <w:pStyle w:val="684"/>
        <w:rPr>
          <w:highlight w:val="none"/>
        </w:rPr>
      </w:pPr>
      <w:r>
        <w:rPr>
          <w:highlight w:val="none"/>
        </w:rPr>
        <w:t xml:space="preserve">Broadcasting-Studio und Feedbackr</w:t>
        <mc:AlternateContent>
          <mc:Choice Requires="wpg">
            <w:drawing>
              <wp:inline xmlns:wp="http://schemas.openxmlformats.org/drawingml/2006/wordprocessingDrawing" distT="0" distB="0" distL="0" distR="0">
                <wp:extent cx="5216865" cy="3150325"/>
                <wp:effectExtent l="0" t="0" r="0" b="0"/>
                <wp:docPr id="1" name="" hidden="0" title="Broadcasting-Studio des Instituts an der Kronesga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0316845" name="" hidden="0" title="Broadcasting-Studio des Instituts an der Kronesgasse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5216864" cy="3150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10.8pt;height:248.1pt;rotation:0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686"/>
      </w:pPr>
      <w:r>
        <w:rPr>
          <w:highlight w:val="none"/>
        </w:rPr>
        <w:t xml:space="preserve">Verwendung:</w:t>
      </w:r>
      <w:r/>
    </w:p>
    <w:p>
      <w:pPr>
        <w:pStyle w:val="862"/>
        <w:numPr>
          <w:ilvl w:val="0"/>
          <w:numId w:val="14"/>
        </w:numPr>
      </w:pPr>
      <w:r>
        <w:t xml:space="preserve">Live-Formate (Seminarinputs und Vorträge)</w:t>
      </w:r>
      <w:r/>
    </w:p>
    <w:p>
      <w:pPr>
        <w:pStyle w:val="862"/>
        <w:numPr>
          <w:ilvl w:val="0"/>
          <w:numId w:val="14"/>
        </w:numPr>
      </w:pPr>
      <w:r>
        <w:t xml:space="preserve">Aufzeichnungen (Vorlesungen)</w:t>
      </w:r>
      <w:r/>
    </w:p>
    <w:p>
      <w:pPr>
        <w:pStyle w:val="862"/>
        <w:numPr>
          <w:ilvl w:val="0"/>
          <w:numId w:val="14"/>
        </w:numPr>
      </w:pPr>
      <w:r>
        <w:t xml:space="preserve">Möglichkeit zur Fragenstellung über feedbackr </w:t>
      </w:r>
      <w:r>
        <w:t xml:space="preserve">(anonym) oder den Webex-Chat</w:t>
      </w:r>
      <w:r/>
    </w:p>
    <w:p>
      <w:pPr>
        <w:rPr>
          <w:highlight w:val="none"/>
        </w:rPr>
      </w:pPr>
      <w:r>
        <w:rPr>
          <w:highlight w:val="none"/>
        </w:rPr>
        <w:t xml:space="preserve">Im Sommer 2020 konnte durch den Projektfonds Lehre des Vizerektorats für Lehre am Institut </w:t>
      </w:r>
      <w:r>
        <w:rPr>
          <w:highlight w:val="none"/>
        </w:rPr>
        <w:t xml:space="preserve">ein Broadcasting-Studio eingerichtet werden. Dieses wird in unterschiedlichen Formaten in </w:t>
      </w:r>
      <w:r>
        <w:rPr>
          <w:highlight w:val="none"/>
        </w:rPr>
        <w:t xml:space="preserve">die Lehre implementiert, beispielsweise durch Aufzeichnung der Vorlesung Konstruieren (Flipped-Classroom-Konzept) und Live-Streaming von Inputs in den beiden Seminaren Gestalten und </w:t>
      </w:r>
      <w:r>
        <w:rPr>
          <w:highlight w:val="none"/>
        </w:rPr>
        <w:t xml:space="preserve">Entwerfen &amp; Konstruieren. Nach jedem Input wird eine URL zu feedbackr eingeblendet, wo die </w:t>
      </w:r>
      <w:r>
        <w:rPr>
          <w:highlight w:val="none"/>
        </w:rPr>
        <w:t xml:space="preserve">Studierenden Fragen stellen können. Diese werden daraufhin live aus dem Videostudio von </w:t>
      </w:r>
      <w:r>
        <w:rPr>
          <w:highlight w:val="none"/>
        </w:rPr>
        <w:t xml:space="preserve">den Lehrbeauftragten beantwortet.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Durch die Möglichkeit, anonym zu bleiben, trauen sich die Studierenden </w:t>
      </w:r>
      <w:r>
        <w:rPr>
          <w:highlight w:val="none"/>
        </w:rPr>
        <w:t xml:space="preserve">aus dem ersten und zweiten Semester eher, Verständnisfragen zu stellen, </w:t>
      </w:r>
      <w:r>
        <w:rPr>
          <w:highlight w:val="none"/>
        </w:rPr>
        <w:t xml:space="preserve">als in einem vollen Hörsaal vor vielen anderen Personen.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Im Herbst 2021 wurde das Studio durch einen Greenscreen ergänzt, wodurch nun die </w:t>
      </w:r>
      <w:r>
        <w:rPr>
          <w:highlight w:val="none"/>
        </w:rPr>
        <w:t xml:space="preserve">Möglichkeit besteht, als vortragende Person in das Architekturprojekt „einzusteigen“ und </w:t>
      </w:r>
      <w:r>
        <w:rPr>
          <w:highlight w:val="none"/>
        </w:rPr>
        <w:t xml:space="preserve">bestimmte Inhalte dadurch anschaulich zu erklären.</w:t>
      </w:r>
      <w:r>
        <w:rPr>
          <w:highlight w:val="none"/>
        </w:rPr>
      </w:r>
      <w:r/>
    </w:p>
    <w:p>
      <w:r>
        <w:rPr>
          <w:highlight w:val="none"/>
        </w:rPr>
        <w:t xml:space="preserve">Des Weiteren wird das Studio unter Verwendung von Webex-Meetings für </w:t>
      </w:r>
      <w:r>
        <w:rPr>
          <w:highlight w:val="none"/>
        </w:rPr>
        <w:t xml:space="preserve">Live-Vorträge (</w:t>
      </w:r>
      <w:hyperlink r:id="rId12" w:tooltip="Am KOEN zu Gast auf der Website der TU Graz" w:history="1">
        <w:r>
          <w:rPr>
            <w:rStyle w:val="840"/>
            <w:highlight w:val="none"/>
          </w:rPr>
          <w:t xml:space="preserve">Vortragsreihe Am KOEN zu Gast)</w:t>
        </w:r>
      </w:hyperlink>
      <w:r>
        <w:rPr>
          <w:highlight w:val="none"/>
        </w:rPr>
        <w:t xml:space="preserve"> genutzt, in denen durch </w:t>
      </w:r>
      <w:r>
        <w:rPr>
          <w:highlight w:val="none"/>
        </w:rPr>
        <w:t xml:space="preserve">parallellaufende, moderierte Chats die Möglichkeit zur Interaktion zwischen </w:t>
      </w:r>
      <w:r>
        <w:rPr>
          <w:highlight w:val="none"/>
        </w:rPr>
        <w:t xml:space="preserve">Studierenden und Vortragenden gegeben wird.</w:t>
      </w:r>
      <w:r>
        <w:rPr>
          <w:highlight w:val="none"/>
        </w:rPr>
      </w:r>
      <w:r/>
    </w:p>
    <w:p>
      <w:pPr>
        <w:pStyle w:val="686"/>
      </w:pPr>
      <w:r>
        <w:rPr>
          <w:highlight w:val="none"/>
        </w:rPr>
        <w:t xml:space="preserve">Unterstützende Tools: Touch-Stift und Detailkamera</w:t>
      </w:r>
      <w:r/>
    </w:p>
    <w:p>
      <w:r>
        <w:t xml:space="preserve">Zur grafischen bzw. visuellen Unterstützung des Vortrags werden zwei Tools eingesetzt, </w:t>
      </w:r>
      <w:r>
        <w:t xml:space="preserve">die die Interaktivität verstärken. Zum einen ist durch die Verwendung eines Touch-Stiftes </w:t>
      </w:r>
      <w:r>
        <w:t xml:space="preserve">die Möglichkeit gegeben, Inhalte auf den Folien während des Vortrags hervorzuheben oder </w:t>
      </w:r>
      <w:r>
        <w:t xml:space="preserve">beispielsweise Konstruktionszeichnungen anzufertigen, und so anschaulich – wie auf einer </w:t>
      </w:r>
      <w:r>
        <w:t xml:space="preserve">Hörsaaltafel – Wissen zu vermitteln.</w:t>
      </w:r>
      <w:r/>
    </w:p>
    <w:p>
      <w:pPr>
        <w:rPr>
          <w:highlight w:val="none"/>
        </w:rPr>
      </w:pPr>
      <w:r>
        <w:t xml:space="preserve">Das zweite Hilfsmittel, das während der Vorträge eingesetzt wird, ist eine Detailkamera, die </w:t>
      </w:r>
      <w:r>
        <w:t xml:space="preserve">ergänzend bei Erklärungen anhand analoger Modelle und Zeichnungen dient. Beispielsweise </w:t>
      </w:r>
      <w:r>
        <w:t xml:space="preserve">können hier durch gebaute Modelle konstruktive Aspekte von Bauwerken gezeigt und </w:t>
      </w:r>
      <w:r>
        <w:t xml:space="preserve">durch Live-Zeichnen das Anfertigen von bestimmten Zeichentechniken (z. B. Wie wird eine </w:t>
      </w:r>
      <w:r>
        <w:t xml:space="preserve">axonometrische Zeichnung angefertigt?) vermittelt werden.</w:t>
      </w:r>
      <w:r/>
    </w:p>
    <w:p>
      <w:pPr>
        <w:rPr>
          <w:highlight w:val="none"/>
        </w:rPr>
      </w:pPr>
      <w:r>
        <w:rPr>
          <w:highlight w:val="none"/>
        </w:rPr>
        <w:t xml:space="preserve">Studierende können mit der Lehrperson „mitskizzieren“ und einzelne Arbeitsschritte einer </w:t>
      </w:r>
      <w:r>
        <w:rPr>
          <w:highlight w:val="none"/>
        </w:rPr>
        <w:t xml:space="preserve">Zeichentechnik durch den Einsatz einer Überkopfaufnahme der zeichnenden Hände live </w:t>
      </w:r>
      <w:r>
        <w:rPr>
          <w:highlight w:val="none"/>
        </w:rPr>
        <w:t xml:space="preserve">mitverfolgen</w:t>
      </w:r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pStyle w:val="684"/>
        <w:rPr>
          <w:highlight w:val="none"/>
        </w:rPr>
      </w:pPr>
      <w:r>
        <w:rPr>
          <w:highlight w:val="none"/>
        </w:rPr>
        <w:t xml:space="preserve">TU Graz Cloud</w:t>
      </w:r>
      <w:r>
        <w:rPr>
          <w:highlight w:val="none"/>
        </w:rPr>
      </w:r>
      <w:r/>
    </w:p>
    <w:p>
      <w:pPr>
        <w:pStyle w:val="686"/>
      </w:pPr>
      <w:r>
        <w:t xml:space="preserve">Verwendung:</w:t>
      </w:r>
      <w:r/>
    </w:p>
    <w:p>
      <w:pPr>
        <w:pStyle w:val="862"/>
        <w:numPr>
          <w:ilvl w:val="0"/>
          <w:numId w:val="15"/>
        </w:numPr>
      </w:pPr>
      <w:r>
        <w:t xml:space="preserve">wöchentliche digitale Abgaben aller Studierenden</w:t>
      </w:r>
      <w:r/>
    </w:p>
    <w:p>
      <w:pPr>
        <w:pStyle w:val="862"/>
        <w:numPr>
          <w:ilvl w:val="0"/>
          <w:numId w:val="15"/>
        </w:numPr>
      </w:pPr>
      <w:r>
        <w:t xml:space="preserve">Überblick über Wissensstand und Fortschritt aller Seminargruppen</w:t>
      </w:r>
      <w:r/>
    </w:p>
    <w:p>
      <w:pPr>
        <w:rPr>
          <w:highlight w:val="none"/>
        </w:rPr>
      </w:pPr>
      <w:r>
        <w:t xml:space="preserve">Die TU Graz Cloud dient als Abgabensammlung, die den Studierenden und Lehrenden die </w:t>
      </w:r>
      <w:r>
        <w:t xml:space="preserve">Möglichkeit der gruppenübergreifenden Vernetzung bietet und als Pool an gesammeltem </w:t>
      </w:r>
      <w:r>
        <w:t xml:space="preserve">Know-How mit Überblick über Wissensstand und Fortschritt dient. In vorbereitete Ordner </w:t>
      </w:r>
      <w:r>
        <w:t xml:space="preserve">laden die Studierenden wöchentlich digitale Abgaben (Scans, Bilder, Grafiken, Pläne) </w:t>
      </w:r>
      <w:r>
        <w:t xml:space="preserve">von teils analog, teils digital produzierten Aufgaben, wodurch ihre digitale Kompetenz in </w:t>
      </w:r>
      <w:r>
        <w:t xml:space="preserve">unterschiedlichen Medien gestärkt wird.</w:t>
      </w:r>
      <w:r/>
    </w:p>
    <w:p>
      <w:pPr>
        <w:pStyle w:val="684"/>
      </w:pPr>
      <w:r>
        <w:rPr>
          <w:highlight w:val="none"/>
        </w:rPr>
        <w:t xml:space="preserve">Microsoft Whiteboard</w:t>
      </w:r>
      <w:r>
        <w:rPr>
          <w:highlight w:val="none"/>
        </w:rPr>
      </w:r>
      <w:r/>
    </w:p>
    <w:p>
      <w:pPr>
        <w:pStyle w:val="862"/>
        <w:numPr>
          <w:ilvl w:val="0"/>
          <w:numId w:val="16"/>
        </w:numPr>
      </w:pPr>
      <w:r>
        <w:t xml:space="preserve">wachsende Sammlung von Inhalten</w:t>
      </w:r>
      <w:r/>
    </w:p>
    <w:p>
      <w:pPr>
        <w:pStyle w:val="862"/>
        <w:numPr>
          <w:ilvl w:val="0"/>
          <w:numId w:val="16"/>
        </w:numPr>
      </w:pPr>
      <w:r>
        <w:t xml:space="preserve">Übersicht über die gesamte LV</w:t>
      </w:r>
      <w:r/>
    </w:p>
    <w:p>
      <w:pPr>
        <w:pStyle w:val="862"/>
        <w:numPr>
          <w:ilvl w:val="0"/>
          <w:numId w:val="16"/>
        </w:numPr>
      </w:pPr>
      <w:r>
        <w:t xml:space="preserve">Korrekturen von gezeichneten Plänen</w:t>
      </w:r>
      <w:r/>
    </w:p>
    <w:p>
      <w:pPr>
        <w:pStyle w:val="862"/>
        <w:numPr>
          <w:ilvl w:val="0"/>
          <w:numId w:val="16"/>
        </w:numPr>
      </w:pPr>
      <w:r>
        <w:t xml:space="preserve">Möglichkeit zur Online-Kollaboration </w:t>
      </w:r>
      <w:r>
        <w:t xml:space="preserve">(z. B. digitales World-Café)</w:t>
      </w:r>
      <w:r/>
    </w:p>
    <w:p>
      <w:r>
        <w:rPr>
          <w:highlight w:val="none"/>
        </w:rPr>
        <w:t xml:space="preserve">Zu Semesterbeginn wird ein Whiteboard für das gesamte Seminar angelegt, das zuerst </w:t>
      </w:r>
      <w:r>
        <w:rPr>
          <w:highlight w:val="none"/>
        </w:rPr>
        <w:t xml:space="preserve">leer ist und sich nach und nach füllt, z. B. mit den wöchentlichen Angabeblättern, mit </w:t>
      </w:r>
      <w:r>
        <w:rPr>
          <w:highlight w:val="none"/>
        </w:rPr>
        <w:t xml:space="preserve">Analysen / Aufgaben der Studierenden, mit Links / Tipps der Lehrbeauftragten, mit </w:t>
      </w:r>
      <w:r>
        <w:rPr>
          <w:highlight w:val="none"/>
        </w:rPr>
        <w:t xml:space="preserve">Notizen / Anmerkungen zu Vorträgen / Inputs. In den Seminaren findet im Whiteboard </w:t>
      </w:r>
      <w:r>
        <w:rPr>
          <w:highlight w:val="none"/>
        </w:rPr>
        <w:t xml:space="preserve">über den Upload der gezeichneten Pläne mittels Screen-Sharing eine digitale Live-Korrektur mit grafischem Feedback (Stifteingabe über Touchscreen-Funktion oder </w:t>
      </w:r>
      <w:r>
        <w:rPr>
          <w:highlight w:val="none"/>
        </w:rPr>
        <w:t xml:space="preserve">Zeichentablet) statt, die das gesamte Semester für alle Studierenden einer Gruppe </w:t>
      </w:r>
      <w:r>
        <w:rPr>
          <w:highlight w:val="none"/>
        </w:rPr>
        <w:t xml:space="preserve">aufrufbar bleibt.</w:t>
      </w:r>
      <w:r/>
    </w:p>
    <w:p>
      <w:pPr>
        <w:rPr>
          <w:highlight w:val="none"/>
        </w:rPr>
      </w:pPr>
      <w:r>
        <w:rPr>
          <w:highlight w:val="none"/>
        </w:rPr>
        <w:t xml:space="preserve">Diskussionen und Kollaborationen werden als digitale World-Cafés umgesetzt, wo die </w:t>
      </w:r>
      <w:r>
        <w:rPr>
          <w:highlight w:val="none"/>
        </w:rPr>
        <w:t xml:space="preserve">Studierenden mittels Breakout-Sessions an virtuellen „Tischen“ Platz nehmen, sich über </w:t>
      </w:r>
      <w:r>
        <w:rPr>
          <w:highlight w:val="none"/>
        </w:rPr>
        <w:t xml:space="preserve">vorgegebene Themen austauschen und als Gruppen zusammenarbeiten können. Es </w:t>
      </w:r>
      <w:r>
        <w:rPr>
          <w:highlight w:val="none"/>
        </w:rPr>
        <w:t xml:space="preserve">entsteht ein Abbild der Interaktion eines gesamten Semesters zwischen den Akteur:innen </w:t>
      </w:r>
      <w:r>
        <w:rPr>
          <w:highlight w:val="none"/>
        </w:rPr>
        <w:t xml:space="preserve">des Lehr- und Lernprozesses</w:t>
      </w:r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pStyle w:val="684"/>
        <w:rPr>
          <w:highlight w:val="none"/>
        </w:rPr>
      </w:pPr>
      <w:r>
        <w:rPr>
          <w:highlight w:val="none"/>
        </w:rPr>
        <w:t xml:space="preserve">Ausstellung</w:t>
      </w:r>
      <w:r>
        <w:rPr>
          <w:highlight w:val="none"/>
        </w:rPr>
      </w:r>
      <w:r/>
    </w:p>
    <w:p>
      <w:r>
        <w:t xml:space="preserve">Mit einem </w:t>
      </w:r>
      <w:hyperlink r:id="rId13" w:tooltip="Ausstellungskatalog" w:history="1">
        <w:r>
          <w:rPr>
            <w:rStyle w:val="840"/>
          </w:rPr>
          <w:t xml:space="preserve">Kurzfilm über die hybride Lehre am KOEN mit dem Titel „Architecture </w:t>
        </w:r>
        <w:r>
          <w:rPr>
            <w:rStyle w:val="840"/>
          </w:rPr>
        </w:r>
        <w:r>
          <w:rPr>
            <w:rStyle w:val="840"/>
          </w:rPr>
          <w:t xml:space="preserve">Broadcasting Network“</w:t>
        </w:r>
      </w:hyperlink>
      <w:r>
        <w:t xml:space="preserve"> nahm das Institut für Grundlagen der Konstruktion und </w:t>
      </w:r>
      <w:r>
        <w:t xml:space="preserve">des Entwerfens im Sommer 2021 an der Ausstellung „SteiermarkSchau: was </w:t>
      </w:r>
      <w:r>
        <w:t xml:space="preserve">sein wird. Von der Zukunft zu den Zukünften“ im Kunsthaus Graz teil. Der Film </w:t>
      </w:r>
      <w:r>
        <w:t xml:space="preserve">kann im digitalen Ausstellungskatalog des Kunsthaus Graz angesehen werden </w:t>
      </w:r>
      <w:r>
        <w:t xml:space="preserve">und gibt einen guten Einblick zur Arbeit im Broadcasting-Studio des Institutes</w:t>
      </w:r>
      <w:r/>
    </w:p>
    <w:p>
      <w:pPr>
        <w:pStyle w:val="684"/>
      </w:pPr>
      <w:r>
        <w:rPr>
          <w:rStyle w:val="685"/>
        </w:rPr>
        <w:t xml:space="preserve">Sticker zum Beitrag</w:t>
      </w:r>
      <w:r>
        <w:rPr>
          <w:rStyle w:val="685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4089" cy="1892766"/>
                <wp:effectExtent l="0" t="0" r="0" b="0"/>
                <wp:docPr id="2" name="" hidden="0" title="Sticker zum Beitrag: eine Person mit Kopfhörern vor einem Computer, im Hintergrund gezeichnete Videokamer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ticker zum Beitrag: eine Person mit Kopfhörern vor einem Computer, im Hintergrund gezeichnete Videokameras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2014089" cy="18927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58.6pt;height:149.0pt;rotation:0;" stroked="false">
                <v:path textboxrect="0,0,0,0"/>
                <v:imagedata r:id="rId14" o:title="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jc w:val="center"/>
    </w:pPr>
    <w:fldSimple w:instr="PAGE \* MERGEFORMAT">
      <w:r>
        <w:t xml:space="preserve">1</w:t>
      </w:r>
    </w:fldSimple>
    <w:r/>
    <w:r/>
  </w:p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b/>
      <w:sz w:val="40"/>
      <w:szCs w:val="40"/>
    </w:rPr>
  </w:style>
  <w:style w:type="character" w:styleId="683">
    <w:name w:val="Heading 1 Char"/>
    <w:link w:val="682"/>
    <w:uiPriority w:val="9"/>
    <w:rPr>
      <w:b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  <w:suppressLineNumbers w:val="0"/>
    </w:pPr>
    <w:rPr>
      <w:rFonts w:ascii="Arial" w:hAnsi="Arial" w:cs="Arial" w:eastAsia="Arial"/>
      <w:b/>
      <w:sz w:val="34"/>
    </w:rPr>
  </w:style>
  <w:style w:type="character" w:styleId="685">
    <w:name w:val="Heading 2 Char"/>
    <w:link w:val="684"/>
    <w:uiPriority w:val="9"/>
    <w:rPr>
      <w:b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b/>
      <w:sz w:val="30"/>
      <w:szCs w:val="30"/>
    </w:rPr>
  </w:style>
  <w:style w:type="character" w:styleId="687">
    <w:name w:val="Heading 3 Char"/>
    <w:link w:val="686"/>
    <w:uiPriority w:val="9"/>
    <w:rPr>
      <w:b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cs="Arial" w:eastAsia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cs="Arial" w:eastAsia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cs="Arial" w:eastAsia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cs="Arial" w:eastAsia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cs="Arial" w:eastAsia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  <w:pPr>
      <w:contextualSpacing w:val="0"/>
      <w:jc w:val="left"/>
      <w:spacing w:before="200" w:after="200" w:line="276" w:lineRule="auto"/>
      <w:suppressLineNumbers w:val="0"/>
    </w:pPr>
    <w:rPr>
      <w:sz w:val="24"/>
    </w:rPr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creativecommons.org/licenses/by/4.0/deed.de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s://www.tugraz.at/fakultaeten/architektur/aktuelles/veranstaltungsreihen/am-koen-zu-gast/" TargetMode="External"/><Relationship Id="rId13" Type="http://schemas.openxmlformats.org/officeDocument/2006/relationships/hyperlink" Target="https://www.katalogzurausstellung.at/projekte/architecture-broadcasting-network-seit-2020-koen-institut-f%C3%BCr-grundlagen-der-konstruktion-und-des-entwerfens-tu-graz-video-grafik-und-fotos-koen" TargetMode="External"/><Relationship Id="rId14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 #06: Best Practice Beispiel digitale Lehre in der Grundlagenlehre</dc:title>
  <dc:subject/>
  <dc:creator>Lisa Obermayer</dc:creator>
  <dc:description/>
  <cp:lastModifiedBy>Edelsbrunner, Sarah (sarah.edelsbrunner@tugraz.at)</cp:lastModifiedBy>
  <cp:revision>17</cp:revision>
  <dcterms:modified xsi:type="dcterms:W3CDTF">2022-02-17T12:42:36Z</dcterms:modified>
</cp:coreProperties>
</file>