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6"/>
        <w:contextualSpacing w:val="false"/>
        <w:jc w:val="left"/>
        <w:spacing w:lineRule="auto" w:line="276" w:after="200" w:before="200"/>
        <w:rPr>
          <w:b/>
        </w:rPr>
        <w:suppressLineNumbers w:val="0"/>
      </w:pPr>
      <w:r>
        <w:rPr>
          <w:b/>
        </w:rPr>
      </w:r>
      <w:r>
        <w:rPr>
          <w:b/>
        </w:rPr>
        <w:t xml:space="preserve">Hochschule </w:t>
      </w:r>
      <w:r>
        <w:rPr>
          <w:b/>
        </w:rPr>
        <w:t xml:space="preserve">#01 Die Organisationseinheit L L T – Teil </w:t>
      </w:r>
      <w:r>
        <w:rPr>
          <w:b/>
        </w:rPr>
        <w:t xml:space="preserve">2 </w:t>
      </w:r>
      <w:r>
        <w:rPr>
          <w:b/>
        </w:rPr>
        <w:t xml:space="preserve">Lehr- und Lerntechnologien an der T U Graz</w:t>
      </w:r>
      <w:r>
        <w:rPr>
          <w:b/>
        </w:rPr>
      </w:r>
      <w:r/>
    </w:p>
    <w:tbl>
      <w:tblPr>
        <w:tblStyle w:val="670"/>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200"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200" w:before="200"/>
              <w:rPr>
                <w:b w:val="false"/>
                <w:spacing w:val="0"/>
                <w:sz w:val="24"/>
              </w:rPr>
              <w:suppressLineNumbers w:val="0"/>
            </w:pPr>
            <w:r>
              <w:rPr>
                <w:b w:val="false"/>
                <w:spacing w:val="0"/>
                <w:sz w:val="24"/>
              </w:rPr>
            </w:r>
            <w:r>
              <w:rPr>
                <w:b w:val="false"/>
                <w:spacing w:val="0"/>
                <w:sz w:val="24"/>
              </w:rPr>
              <w:t xml:space="preserve">Walther Nagler</w:t>
            </w:r>
            <w:r>
              <w:rPr>
                <w:sz w:val="24"/>
              </w:rPr>
            </w:r>
            <w:r/>
          </w:p>
        </w:tc>
      </w:tr>
      <w:tr>
        <w:trPr/>
        <w:tc>
          <w:tcPr>
            <w:tcW w:w="4677" w:type="dxa"/>
            <w:textDirection w:val="lrTb"/>
            <w:noWrap w:val="false"/>
          </w:tcPr>
          <w:p>
            <w:pPr>
              <w:contextualSpacing w:val="false"/>
              <w:jc w:val="left"/>
              <w:spacing w:lineRule="auto" w:line="276" w:after="200"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200" w:before="200"/>
              <w:rPr>
                <w:b w:val="false"/>
                <w:spacing w:val="0"/>
                <w:sz w:val="24"/>
              </w:rPr>
              <w:suppressLineNumbers w:val="0"/>
            </w:pPr>
            <w:r>
              <w:rPr>
                <w:b w:val="false"/>
                <w:spacing w:val="0"/>
                <w:sz w:val="24"/>
              </w:rPr>
            </w:r>
            <w:r>
              <w:rPr>
                <w:b w:val="false"/>
                <w:spacing w:val="0"/>
                <w:sz w:val="24"/>
              </w:rPr>
              <w:t xml:space="preserve">September 2019</w:t>
            </w:r>
            <w:r>
              <w:rPr>
                <w:sz w:val="24"/>
              </w:rPr>
            </w:r>
            <w:r/>
          </w:p>
        </w:tc>
      </w:tr>
      <w:tr>
        <w:trPr/>
        <w:tc>
          <w:tcPr>
            <w:tcW w:w="4677" w:type="dxa"/>
            <w:textDirection w:val="lrTb"/>
            <w:noWrap w:val="false"/>
          </w:tcPr>
          <w:p>
            <w:pPr>
              <w:contextualSpacing w:val="false"/>
              <w:jc w:val="left"/>
              <w:spacing w:lineRule="auto" w:line="276" w:after="200"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200"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b w:val="false"/>
                <w:spacing w:val="0"/>
                <w:sz w:val="24"/>
              </w:rPr>
              <w:t xml:space="preserve">Lizenziert unter der </w:t>
            </w:r>
            <w:hyperlink r:id="rId10" w:tooltip="CC BY-SA 4.0" w:history="1">
              <w:r>
                <w:rPr>
                  <w:rStyle w:val="794"/>
                  <w:b w:val="false"/>
                  <w:spacing w:val="0"/>
                  <w:sz w:val="24"/>
                </w:rPr>
                <w:t xml:space="preserve">Creative-Commons-Lizenz CC BY-SA 4.0</w:t>
              </w:r>
            </w:hyperlink>
            <w:r>
              <w:rPr>
                <w:sz w:val="24"/>
              </w:rPr>
            </w:r>
            <w:r/>
          </w:p>
        </w:tc>
      </w:tr>
    </w:tbl>
    <w:p>
      <w:pPr>
        <w:contextualSpacing w:val="false"/>
        <w:jc w:val="left"/>
        <w:spacing w:lineRule="auto" w:line="276" w:after="200" w:before="200"/>
        <w:rPr>
          <w:sz w:val="24"/>
        </w:rPr>
        <w:suppressLineNumbers w:val="0"/>
      </w:pPr>
      <w:r>
        <w:rPr>
          <w:sz w:val="24"/>
        </w:rPr>
      </w:r>
      <w:r>
        <w:rPr>
          <w:sz w:val="24"/>
        </w:rPr>
        <w:t xml:space="preserve">Aus den Handlungsfeldern (siehe Teil 1) ergibt sich das Leistungsportfolio der </w:t>
      </w:r>
      <w:r>
        <w:rPr>
          <w:sz w:val="24"/>
        </w:rPr>
        <w:t xml:space="preserve">Organisationseinheit </w:t>
      </w:r>
      <w:r>
        <w:rPr>
          <w:sz w:val="24"/>
        </w:rPr>
        <w:t xml:space="preserve">Lehr- und Lerntechnologien, welche im Rahmen und zum Zwecke der Lehre an der T U Graz grundsätzlich kostenfrei zu beziehen ist (vorbehaltlich projektbezogener Änderungen). Die</w:t>
      </w:r>
      <w:r>
        <w:rPr>
          <w:sz w:val="24"/>
        </w:rPr>
        <w:t xml:space="preserve"> Grafik fasst die Serviceangebote zusammen.</w:t>
      </w:r>
      <w:r>
        <w:rPr>
          <w:sz w:val="24"/>
        </w:rPr>
      </w:r>
      <w:r/>
    </w:p>
    <w:p>
      <w:pPr>
        <w:pStyle w:val="638"/>
        <w:contextualSpacing w:val="false"/>
        <w:jc w:val="left"/>
        <w:spacing w:lineRule="auto" w:line="276" w:after="200" w:before="198"/>
        <w:rPr>
          <w:b/>
          <w:sz w:val="34"/>
          <w:highlight w:val="none"/>
        </w:rPr>
        <w:suppressLineNumbers w:val="0"/>
      </w:pPr>
      <w:r>
        <w:rPr>
          <w:b/>
          <w:sz w:val="34"/>
          <w:highlight w:val="none"/>
        </w:rPr>
        <w:t xml:space="preserve">Ed</w:t>
      </w:r>
      <w:r>
        <w:rPr>
          <w:b/>
          <w:sz w:val="34"/>
          <w:highlight w:val="none"/>
        </w:rPr>
        <w:t xml:space="preserve">ucational Technology - T U </w:t>
      </w:r>
      <w:r>
        <w:rPr>
          <w:b/>
          <w:sz w:val="34"/>
          <w:highlight w:val="none"/>
        </w:rPr>
        <w:t xml:space="preserve">Graz </w:t>
      </w:r>
      <w:r>
        <w:rPr>
          <w:b/>
          <w:sz w:val="34"/>
          <w:highlight w:val="none"/>
        </w:rPr>
      </w:r>
      <w:r/>
    </w:p>
    <w:p>
      <w:pPr>
        <w:contextualSpacing w:val="false"/>
        <w:jc w:val="left"/>
        <w:spacing w:lineRule="auto" w:line="276" w:after="200" w:before="198"/>
        <w:rPr>
          <w:highlight w:val="none"/>
        </w:rPr>
        <w:suppressLineNumbers w:val="0"/>
      </w:pPr>
      <w:r>
        <mc:AlternateContent>
          <mc:Choice Requires="wpg">
            <w:drawing>
              <wp:inline xmlns:wp="http://schemas.openxmlformats.org/drawingml/2006/wordprocessingDrawing" distT="0" distB="0" distL="0" distR="0">
                <wp:extent cx="5940425" cy="4432262"/>
                <wp:effectExtent l="0" t="0" r="0" b="0"/>
                <wp:docPr id="1" name="" hidden="false" title="Eine Darstellung des Services von Educational Technology (elearning.tugraz.a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Eine Darstellung des Services von Educational Technology (elearning.tugraz.at)"/>
                        <pic:cNvPicPr>
                          <a:picLocks noChangeAspect="1"/>
                        </pic:cNvPicPr>
                        <pic:nvPr isPhoto="0" userDrawn="0"/>
                      </pic:nvPicPr>
                      <pic:blipFill>
                        <a:blip r:embed="rId11"/>
                        <a:stretch/>
                      </pic:blipFill>
                      <pic:spPr bwMode="auto">
                        <a:xfrm rot="0" flipH="0" flipV="0">
                          <a:off x="0" y="0"/>
                          <a:ext cx="5940424" cy="443226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8pt;height:349.0pt;rotation:0;" stroked="false">
                <v:path textboxrect="0,0,0,0"/>
                <v:imagedata r:id="rId11" o:title=""/>
              </v:shape>
            </w:pict>
          </mc:Fallback>
        </mc:AlternateContent>
      </w:r>
      <w:r/>
    </w:p>
    <w:p>
      <w:pPr>
        <w:pStyle w:val="816"/>
        <w:numPr>
          <w:ilvl w:val="0"/>
          <w:numId w:val="1"/>
        </w:numPr>
        <w:contextualSpacing w:val="false"/>
        <w:jc w:val="left"/>
        <w:spacing w:lineRule="auto" w:line="276" w:after="200" w:before="198"/>
        <w:suppressLineNumbers w:val="0"/>
      </w:pPr>
      <w:r>
        <w:rPr>
          <w:highlight w:val="none"/>
          <w:lang w:val="en-GB"/>
        </w:rPr>
        <w:t xml:space="preserve">TeachCenter, </w:t>
      </w:r>
      <w:hyperlink r:id="rId12" w:tooltip="TeachCenter-Plattform" w:history="1">
        <w:r>
          <w:rPr>
            <w:rStyle w:val="794"/>
            <w:highlight w:val="none"/>
            <w:lang w:val="en-GB"/>
          </w:rPr>
          <w:t xml:space="preserve">TeachCenter-Plattform</w:t>
        </w:r>
      </w:hyperlink>
      <w:r>
        <w:rPr>
          <w:highlight w:val="none"/>
          <w:lang w:val="en-GB"/>
        </w:rPr>
        <w:t xml:space="preserve">: Learning Management System</w:t>
      </w:r>
      <w:r>
        <w:rPr>
          <w:lang w:val="en-GB"/>
        </w:rPr>
      </w:r>
      <w:r/>
    </w:p>
    <w:p>
      <w:pPr>
        <w:pStyle w:val="816"/>
        <w:numPr>
          <w:ilvl w:val="0"/>
          <w:numId w:val="1"/>
        </w:numPr>
        <w:contextualSpacing w:val="false"/>
        <w:jc w:val="left"/>
        <w:spacing w:lineRule="auto" w:line="276" w:after="200" w:before="198"/>
        <w:suppressLineNumbers w:val="0"/>
      </w:pPr>
      <w:r>
        <w:rPr>
          <w:highlight w:val="none"/>
          <w:lang w:val="en-GB"/>
        </w:rPr>
        <w:t xml:space="preserve">iMooX, </w:t>
      </w:r>
      <w:hyperlink r:id="rId13" w:tooltip="imoox.at-Website" w:history="1">
        <w:r>
          <w:rPr>
            <w:rStyle w:val="794"/>
            <w:highlight w:val="none"/>
            <w:lang w:val="en-GB"/>
          </w:rPr>
          <w:t xml:space="preserve">imoox.at-Website</w:t>
        </w:r>
      </w:hyperlink>
      <w:r>
        <w:rPr>
          <w:highlight w:val="none"/>
          <w:lang w:val="en-GB"/>
        </w:rPr>
        <w:t xml:space="preserve">: Massive Open Online </w:t>
      </w:r>
      <w:r>
        <w:rPr>
          <w:highlight w:val="none"/>
          <w:lang w:val="en-GB"/>
        </w:rPr>
        <w:t xml:space="preserve">Course Platform</w:t>
      </w:r>
      <w:r>
        <w:rPr>
          <w:lang w:val="en-GB"/>
        </w:rPr>
      </w:r>
      <w:r/>
    </w:p>
    <w:p>
      <w:pPr>
        <w:pStyle w:val="816"/>
        <w:numPr>
          <w:ilvl w:val="0"/>
          <w:numId w:val="1"/>
        </w:numPr>
        <w:contextualSpacing w:val="false"/>
        <w:jc w:val="left"/>
        <w:suppressLineNumbers w:val="0"/>
      </w:pPr>
      <w:r>
        <w:rPr>
          <w:highlight w:val="none"/>
          <w:lang w:val="en-GB"/>
        </w:rPr>
        <w:t xml:space="preserve">Video &amp; Animation, </w:t>
      </w:r>
      <w:hyperlink r:id="rId14" w:tooltip="TUbe_Website" w:history="1">
        <w:r>
          <w:rPr>
            <w:rStyle w:val="794"/>
            <w:highlight w:val="none"/>
            <w:lang w:val="en-GB"/>
          </w:rPr>
          <w:t xml:space="preserve">TUbe_Website</w:t>
        </w:r>
      </w:hyperlink>
      <w:r>
        <w:rPr>
          <w:highlight w:val="none"/>
          <w:lang w:val="en-GB"/>
        </w:rPr>
        <w:t xml:space="preserve">: Live-Streaming, Capturing, Video Production</w:t>
      </w:r>
      <w:r>
        <w:rPr>
          <w:lang w:val="en-GB"/>
        </w:rPr>
      </w:r>
      <w:r/>
    </w:p>
    <w:p>
      <w:pPr>
        <w:pStyle w:val="816"/>
        <w:numPr>
          <w:ilvl w:val="0"/>
          <w:numId w:val="1"/>
        </w:numPr>
        <w:contextualSpacing w:val="false"/>
        <w:jc w:val="left"/>
        <w:suppressLineNumbers w:val="0"/>
      </w:pPr>
      <w:r>
        <w:rPr>
          <w:highlight w:val="none"/>
          <w:lang w:val="en-GB"/>
        </w:rPr>
        <w:t xml:space="preserve">Instructional Design, </w:t>
      </w:r>
      <w:hyperlink r:id="rId15" w:tooltip="Lehr- und Lerntechnologien-Website" w:history="1">
        <w:r>
          <w:rPr>
            <w:rStyle w:val="794"/>
            <w:highlight w:val="none"/>
            <w:lang w:val="en-GB"/>
          </w:rPr>
          <w:t xml:space="preserve">Lehr- und Lerntechnologien-Website</w:t>
        </w:r>
      </w:hyperlink>
      <w:r>
        <w:rPr>
          <w:highlight w:val="none"/>
          <w:lang w:val="en-GB"/>
        </w:rPr>
        <w:t xml:space="preserve">: Consulting, Schooling, Reserach Media Didactics, Copyright, Evolution</w:t>
      </w:r>
      <w:r>
        <w:rPr>
          <w:lang w:val="en-GB"/>
        </w:rPr>
      </w:r>
      <w:r/>
    </w:p>
    <w:p>
      <w:pPr>
        <w:pStyle w:val="816"/>
        <w:numPr>
          <w:ilvl w:val="0"/>
          <w:numId w:val="1"/>
        </w:numPr>
        <w:contextualSpacing w:val="false"/>
        <w:jc w:val="left"/>
        <w:suppressLineNumbers w:val="0"/>
      </w:pPr>
      <w:r>
        <w:rPr>
          <w:highlight w:val="none"/>
          <w:lang w:val="en-GB"/>
        </w:rPr>
        <w:t xml:space="preserve">Cooperation, </w:t>
      </w:r>
      <w:hyperlink r:id="rId16" w:tooltip="Lehr- und Lerntechnologien-Website" w:history="1">
        <w:r>
          <w:rPr>
            <w:rStyle w:val="794"/>
            <w:highlight w:val="none"/>
            <w:lang w:val="en-GB"/>
          </w:rPr>
          <w:t xml:space="preserve">Lehr- und Lerntechnologien-Website</w:t>
        </w:r>
      </w:hyperlink>
      <w:r>
        <w:rPr>
          <w:highlight w:val="none"/>
          <w:lang w:val="en-GB"/>
        </w:rPr>
        <w:t xml:space="preserve">: In-house, National and International Projects</w:t>
      </w:r>
      <w:r>
        <w:rPr>
          <w:lang w:val="en-GB"/>
        </w:rPr>
      </w:r>
      <w:r/>
    </w:p>
    <w:p>
      <w:pPr>
        <w:pStyle w:val="816"/>
        <w:numPr>
          <w:ilvl w:val="0"/>
          <w:numId w:val="1"/>
        </w:numPr>
        <w:contextualSpacing w:val="false"/>
        <w:jc w:val="left"/>
        <w:suppressLineNumbers w:val="0"/>
      </w:pPr>
      <w:r>
        <w:rPr>
          <w:highlight w:val="none"/>
          <w:lang w:val="en-GB"/>
        </w:rPr>
        <w:t xml:space="preserve">Learning Lab, </w:t>
      </w:r>
      <w:hyperlink r:id="rId17" w:tooltip="Learninglab-Website" w:history="1">
        <w:r>
          <w:rPr>
            <w:rStyle w:val="794"/>
            <w:highlight w:val="none"/>
            <w:lang w:val="en-GB"/>
          </w:rPr>
          <w:t xml:space="preserve">Learninglab-Website</w:t>
        </w:r>
      </w:hyperlink>
      <w:r>
        <w:rPr>
          <w:highlight w:val="none"/>
          <w:lang w:val="en-GB"/>
        </w:rPr>
        <w:t xml:space="preserve">: Research Projects, Learning Objects and Tools in the Field of Technology Enhanced Teaching</w:t>
      </w:r>
      <w:r>
        <w:rPr>
          <w:lang w:val="en-GB"/>
        </w:rPr>
      </w:r>
      <w:r/>
    </w:p>
    <w:p>
      <w:pPr>
        <w:pStyle w:val="816"/>
        <w:numPr>
          <w:ilvl w:val="0"/>
          <w:numId w:val="1"/>
        </w:numPr>
        <w:contextualSpacing w:val="false"/>
        <w:jc w:val="left"/>
        <w:suppressLineNumbers w:val="0"/>
      </w:pPr>
      <w:r>
        <w:rPr>
          <w:highlight w:val="none"/>
          <w:lang w:val="en-GB"/>
        </w:rPr>
        <w:t xml:space="preserve">Learning Analytics: Prediction, Recommendation, Visualization, Gamification, Machine Learning, Personalization</w:t>
      </w:r>
      <w:r>
        <w:rPr>
          <w:lang w:val="en-GB"/>
        </w:rPr>
      </w:r>
      <w:r/>
    </w:p>
    <w:p>
      <w:pPr>
        <w:pStyle w:val="816"/>
        <w:numPr>
          <w:ilvl w:val="0"/>
          <w:numId w:val="1"/>
        </w:numPr>
        <w:contextualSpacing w:val="false"/>
        <w:jc w:val="left"/>
        <w:suppressLineNumbers w:val="0"/>
      </w:pPr>
      <w:r>
        <w:rPr>
          <w:highlight w:val="none"/>
          <w:lang w:val="en-GB"/>
        </w:rPr>
        <w:t xml:space="preserve">O E R &amp; Accessibility: Open Educational Resources, Intern Accessibility &amp; Inclusion</w:t>
      </w:r>
      <w:r>
        <w:rPr>
          <w:highlight w:val="none"/>
          <w:lang w:val="en-GB"/>
        </w:rPr>
      </w:r>
      <w:r/>
    </w:p>
    <w:p>
      <w:pPr>
        <w:contextualSpacing w:val="false"/>
        <w:jc w:val="left"/>
        <w:spacing w:lineRule="auto" w:line="276" w:after="200" w:before="200"/>
        <w:rPr>
          <w:sz w:val="24"/>
          <w:highlight w:val="none"/>
        </w:rPr>
        <w:suppressLineNumbers w:val="0"/>
      </w:pPr>
      <w:r>
        <w:rPr>
          <w:sz w:val="24"/>
        </w:rPr>
      </w:r>
      <w:r>
        <w:rPr>
          <w:sz w:val="24"/>
        </w:rPr>
        <w:t xml:space="preserve">Aus diesem breiten Angebot an Möglichkeiten der individuellen Lehr- und </w:t>
      </w:r>
      <w:r>
        <w:rPr>
          <w:sz w:val="24"/>
        </w:rPr>
        <w:t xml:space="preserve">Lernunterstützung gibt es folgende aktuelle Schwerpunktthemen und </w:t>
      </w:r>
      <w:r>
        <w:rPr>
          <w:sz w:val="24"/>
        </w:rPr>
        <w:t xml:space="preserve">Forschungsfelder: </w:t>
      </w:r>
      <w:r>
        <w:rPr>
          <w:sz w:val="24"/>
        </w:rPr>
      </w:r>
      <w:r/>
    </w:p>
    <w:p>
      <w:pPr>
        <w:pStyle w:val="640"/>
        <w:rPr>
          <w:b/>
          <w:sz w:val="30"/>
          <w:highlight w:val="none"/>
        </w:rPr>
        <w:suppressLineNumbers w:val="0"/>
      </w:pPr>
      <w:r>
        <w:rPr>
          <w:b/>
          <w:sz w:val="30"/>
          <w:highlight w:val="none"/>
        </w:rPr>
      </w:r>
      <w:r>
        <w:rPr>
          <w:b/>
          <w:sz w:val="30"/>
        </w:rPr>
        <w:t xml:space="preserve">AKTUELLE FRAGESTELLUNGEN &amp; SCHWERPUNKTE</w:t>
      </w:r>
      <w:r>
        <w:rPr>
          <w:b/>
          <w:sz w:val="30"/>
          <w:highlight w:val="none"/>
        </w:rPr>
      </w:r>
      <w:r/>
    </w:p>
    <w:p>
      <w:pPr>
        <w:contextualSpacing w:val="false"/>
        <w:jc w:val="left"/>
        <w:spacing w:lineRule="auto" w:line="276" w:after="200" w:before="200"/>
        <w:rPr>
          <w:sz w:val="24"/>
          <w:highlight w:val="none"/>
        </w:rPr>
        <w:suppressLineNumbers w:val="0"/>
      </w:pPr>
      <w:r>
        <w:rPr>
          <w:sz w:val="24"/>
          <w:highlight w:val="none"/>
        </w:rPr>
      </w:r>
      <w:r>
        <w:rPr>
          <w:sz w:val="24"/>
        </w:rPr>
        <w:t xml:space="preserve">E</w:t>
      </w:r>
      <w:r>
        <w:rPr>
          <w:sz w:val="24"/>
        </w:rPr>
        <w:t xml:space="preserve">in Widerspruch zur Präsenzuniversität? Nachhaltige Verankerung von Virtueller Lehre an der T U Graz • Frisch kopiert oder alles neu? Lehrunterlagen und Urheberrecht im digitalen Zeitalter • Wie steht es mit dem öffentlichen Bildungsauftrag? Forcierung von </w:t>
      </w:r>
      <w:r>
        <w:rPr>
          <w:sz w:val="24"/>
        </w:rPr>
        <w:t xml:space="preserve">frei zugänglichen, offenen Bildungsressourcen (</w:t>
      </w:r>
      <w:r>
        <w:rPr>
          <w:sz w:val="24"/>
          <w:lang w:val="en-GB"/>
        </w:rPr>
        <w:t xml:space="preserve">O E R</w:t>
      </w:r>
      <w:r>
        <w:rPr>
          <w:sz w:val="24"/>
        </w:rPr>
        <w:t xml:space="preserve">) • Von der Forschung in die Praxis: Umsetzung von </w:t>
      </w:r>
      <w:r>
        <w:rPr>
          <w:sz w:val="24"/>
          <w:lang w:val="en-GB"/>
        </w:rPr>
        <w:t xml:space="preserve">Learning</w:t>
      </w:r>
      <w:r>
        <w:rPr>
          <w:sz w:val="24"/>
          <w:lang w:val="en-GB"/>
        </w:rPr>
        <w:t xml:space="preserve">-Analytics</w:t>
      </w:r>
      <w:r>
        <w:rPr>
          <w:sz w:val="24"/>
        </w:rPr>
        <w:t xml:space="preserve">-Projekten</w:t>
      </w:r>
      <w:r>
        <w:rPr>
          <w:sz w:val="24"/>
          <w:highlight w:val="none"/>
        </w:rPr>
      </w:r>
      <w:r/>
    </w:p>
    <w:p>
      <w:pPr>
        <w:contextualSpacing w:val="false"/>
        <w:jc w:val="left"/>
        <w:spacing w:lineRule="auto" w:line="276" w:after="200" w:before="200"/>
        <w:rPr>
          <w:sz w:val="24"/>
          <w:highlight w:val="none"/>
        </w:rPr>
        <w:suppressLineNumbers w:val="0"/>
      </w:pPr>
      <w:r>
        <w:rPr>
          <w:sz w:val="24"/>
          <w:highlight w:val="none"/>
        </w:rPr>
      </w:r>
      <w:r>
        <w:rPr>
          <w:sz w:val="24"/>
        </w:rPr>
        <w:t xml:space="preserve">Haben Sie zum Beispiel gewusst, dass mit dem Rektoratsbeschluss vom 4. April 2017 eine Richtlinie zur Regelung von „Virtueller Lehre an der Technischen Universität Graz“ herausgegeben wurde und dass ein Punkt dieser Richtlinie besagt, dass Virtuelle Lehre </w:t>
      </w:r>
      <w:r>
        <w:rPr>
          <w:sz w:val="24"/>
        </w:rPr>
        <w:t xml:space="preserve">als didaktisches Mittel im Rahmen von Vorlesungen oder vom Vorlesungsteil einer VU bis zu einem Schwellwert von 20% der abzuhaltenden Semesterstunden durch den:die Lehrende:n frei umsetzbar ist? Wir beraten Sie gerne!</w:t>
      </w:r>
      <w:r>
        <w:rPr>
          <w:sz w:val="24"/>
          <w:highlight w:val="none"/>
        </w:rPr>
      </w:r>
      <w:r/>
    </w:p>
    <w:p>
      <w:pPr>
        <w:pStyle w:val="638"/>
        <w:rPr>
          <w:b/>
          <w:sz w:val="34"/>
          <w:highlight w:val="none"/>
        </w:rPr>
        <w:suppressLineNumbers w:val="0"/>
      </w:pPr>
      <w:r>
        <w:rPr>
          <w:b/>
          <w:sz w:val="34"/>
          <w:highlight w:val="none"/>
        </w:rPr>
      </w:r>
      <w:r>
        <w:rPr>
          <w:b/>
          <w:sz w:val="34"/>
          <w:highlight w:val="none"/>
        </w:rPr>
        <w:t xml:space="preserve">IHR KONTAKT ZUR </w:t>
      </w:r>
      <w:r>
        <w:rPr>
          <w:b/>
          <w:sz w:val="34"/>
          <w:highlight w:val="none"/>
        </w:rPr>
        <w:t xml:space="preserve">Organisationseinheit </w:t>
      </w:r>
      <w:r>
        <w:rPr>
          <w:b/>
          <w:sz w:val="34"/>
          <w:highlight w:val="none"/>
        </w:rPr>
        <w:t xml:space="preserve">L L T - UNSER KONTAKT ZU IHNEN</w:t>
      </w:r>
      <w:r>
        <w:rPr>
          <w:b/>
          <w:sz w:val="34"/>
          <w:highlight w:val="none"/>
        </w:rPr>
      </w:r>
      <w:r/>
    </w:p>
    <w:p>
      <w:pPr>
        <w:contextualSpacing w:val="false"/>
        <w:jc w:val="left"/>
        <w:spacing w:lineRule="auto" w:line="276" w:after="200" w:before="200"/>
        <w:rPr>
          <w:sz w:val="24"/>
          <w:highlight w:val="none"/>
        </w:rPr>
        <w:suppressLineNumbers w:val="0"/>
      </w:pPr>
      <w:r>
        <w:rPr>
          <w:sz w:val="24"/>
          <w:highlight w:val="none"/>
        </w:rPr>
      </w:r>
      <w:r>
        <w:rPr>
          <w:sz w:val="24"/>
        </w:rPr>
        <w:t xml:space="preserve">Eingebettet und stark vernetzt mit den weiteren Organisationseinheiten des Vizerektorats für Lehre sind wir gestalterischer Teil verschiedener Kommunikations- und Austauschformate, wie zum Beispiel dem „Lehrstammtisch“, dem „</w:t>
      </w:r>
      <w:r>
        <w:rPr>
          <w:sz w:val="24"/>
          <w:lang w:val="en-GB"/>
        </w:rPr>
        <w:t xml:space="preserve">Lunch </w:t>
      </w:r>
      <w:r>
        <w:rPr>
          <w:sz w:val="24"/>
        </w:rPr>
        <w:t xml:space="preserve">&amp; Lehre“ Event, der „</w:t>
      </w:r>
      <w:r>
        <w:rPr>
          <w:sz w:val="24"/>
          <w:lang w:val="en-GB"/>
        </w:rPr>
        <w:t xml:space="preserve">Seni</w:t>
      </w:r>
      <w:r>
        <w:rPr>
          <w:sz w:val="24"/>
          <w:lang w:val="en-GB"/>
        </w:rPr>
        <w:t xml:space="preserve">or Lecturer Lounge</w:t>
      </w:r>
      <w:r>
        <w:rPr>
          <w:sz w:val="24"/>
        </w:rPr>
        <w:t xml:space="preserve">“, dem „L L T-Frühstück“ oder auch dem „Einführungstag für neue Mitarbeiterinnen und Mitarbeiter“, einem Angebot der Internen Weiterbildung. Wir sind bemüht, aktiv auf uns aufmerksam zu machen, und schaffen in diesem Sinne immer wieder neue</w:t>
      </w:r>
      <w:r>
        <w:rPr>
          <w:sz w:val="24"/>
        </w:rPr>
        <w:t xml:space="preserve"> Anreize für Sie, mit uns in Kontakt zu treten.</w:t>
      </w:r>
      <w:r>
        <w:rPr>
          <w:sz w:val="24"/>
          <w:highlight w:val="none"/>
        </w:rPr>
      </w:r>
      <w:r/>
    </w:p>
    <w:p>
      <w:pPr>
        <w:contextualSpacing w:val="false"/>
        <w:jc w:val="left"/>
        <w:spacing w:lineRule="auto" w:line="276" w:after="200" w:before="200"/>
        <w:rPr>
          <w:sz w:val="24"/>
          <w:highlight w:val="none"/>
        </w:rPr>
        <w:suppressLineNumbers w:val="0"/>
      </w:pPr>
      <w:r>
        <w:rPr>
          <w:sz w:val="24"/>
          <w:highlight w:val="none"/>
        </w:rPr>
      </w:r>
      <w:r>
        <w:rPr>
          <w:sz w:val="24"/>
        </w:rPr>
        <w:t xml:space="preserve">Wir freuen uns über Ihr Interesse an den Möglichkeiten moderner Lehre. In diesem Sinne: </w:t>
      </w:r>
      <w:r>
        <w:rPr>
          <w:sz w:val="24"/>
          <w:lang w:val="en-GB"/>
        </w:rPr>
        <w:t xml:space="preserve">Let us T E L you about e Education</w:t>
      </w:r>
      <w:r>
        <w:rPr>
          <w:sz w:val="24"/>
        </w:rPr>
        <w:t xml:space="preserve">!</w:t>
      </w:r>
      <w:r>
        <w:rPr>
          <w:sz w:val="24"/>
          <w:highlight w:val="none"/>
        </w:rPr>
      </w:r>
      <w:r/>
    </w:p>
    <w:p>
      <w:pPr>
        <w:contextualSpacing w:val="false"/>
        <w:jc w:val="left"/>
        <w:spacing w:lineRule="auto" w:line="276" w:after="200" w:before="200"/>
        <w:rPr>
          <w:sz w:val="24"/>
          <w:highlight w:val="none"/>
        </w:rPr>
        <w:suppressLineNumbers w:val="0"/>
      </w:pPr>
      <w:r>
        <w:rPr>
          <w:sz w:val="24"/>
          <w:highlight w:val="none"/>
        </w:rPr>
        <w:t xml:space="preserve">„Die Vision von T U Graz Lehr- und Lerntechnologien </w:t>
      </w:r>
      <w:r>
        <w:rPr>
          <w:sz w:val="24"/>
          <w:highlight w:val="none"/>
        </w:rPr>
        <w:t xml:space="preserve">ist es, die Lehre mit Medien zu bereichern, um </w:t>
      </w:r>
      <w:r>
        <w:rPr>
          <w:sz w:val="24"/>
          <w:highlight w:val="none"/>
        </w:rPr>
        <w:t xml:space="preserve">damit die Kommunikation zu verbessern und darüber </w:t>
      </w:r>
      <w:r>
        <w:rPr>
          <w:sz w:val="24"/>
          <w:highlight w:val="none"/>
        </w:rPr>
        <w:t xml:space="preserve">hinaus durch eine zentrale Steuerung auch für </w:t>
      </w:r>
      <w:r>
        <w:rPr>
          <w:sz w:val="24"/>
          <w:highlight w:val="none"/>
        </w:rPr>
        <w:t xml:space="preserve">Nachhaltigkeit zu sorgen. Die T U Graz soll eine große </w:t>
      </w:r>
      <w:r>
        <w:rPr>
          <w:sz w:val="24"/>
          <w:highlight w:val="none"/>
        </w:rPr>
        <w:t xml:space="preserve">Lehr- und Lerngemeinschaft in der Informationsgesellschaft von morgen darstellen; dies wird </w:t>
      </w:r>
      <w:r>
        <w:rPr>
          <w:sz w:val="24"/>
          <w:highlight w:val="none"/>
        </w:rPr>
        <w:t xml:space="preserve">durch unseren Leitsatz „</w:t>
      </w:r>
      <w:r>
        <w:rPr>
          <w:sz w:val="24"/>
          <w:highlight w:val="none"/>
          <w:lang w:val="en-GB"/>
        </w:rPr>
        <w:t xml:space="preserve">WE CARE ABOUT e EDUCATION</w:t>
      </w:r>
      <w:r>
        <w:rPr>
          <w:sz w:val="24"/>
          <w:highlight w:val="none"/>
        </w:rPr>
        <w:t xml:space="preserve">“ </w:t>
      </w:r>
      <w:r>
        <w:rPr>
          <w:sz w:val="24"/>
          <w:highlight w:val="none"/>
        </w:rPr>
        <w:t xml:space="preserve">ausgedrückt.“ (Martin Ebner)</w:t>
      </w:r>
      <w:r>
        <w:rPr>
          <w:sz w:val="24"/>
          <w:highlight w:val="none"/>
        </w:rPr>
      </w:r>
      <w:r/>
    </w:p>
    <w:p>
      <w:pPr>
        <w:pStyle w:val="638"/>
        <w:rPr>
          <w:b/>
          <w:sz w:val="34"/>
          <w:highlight w:val="none"/>
        </w:rPr>
        <w:suppressLineNumbers w:val="0"/>
      </w:pPr>
      <w:r>
        <w:rPr>
          <w:b/>
          <w:sz w:val="34"/>
          <w:highlight w:val="none"/>
        </w:rPr>
        <w:t xml:space="preserve">Stickers zum Beitrag</w:t>
      </w:r>
      <w:r>
        <w:rPr>
          <w:b/>
          <w:sz w:val="34"/>
          <w:highlight w:val="none"/>
        </w:rPr>
      </w:r>
      <w:r/>
    </w:p>
    <w:p>
      <w:pPr>
        <w:contextualSpacing w:val="false"/>
        <w:jc w:val="left"/>
        <w:spacing w:lineRule="auto" w:line="276" w:after="200" w:before="200"/>
        <w:rPr>
          <w:sz w:val="24"/>
          <w:highlight w:val="none"/>
        </w:rPr>
        <w:suppressLineNumbers w:val="0"/>
      </w:pPr>
      <w:r>
        <w:rPr>
          <w:sz w:val="24"/>
          <w:highlight w:val="none"/>
        </w:rPr>
      </w:r>
      <w:r>
        <w:rPr>
          <w:sz w:val="24"/>
          <w:highlight w:val="none"/>
        </w:rPr>
        <mc:AlternateContent>
          <mc:Choice Requires="wpg">
            <w:drawing>
              <wp:inline xmlns:wp="http://schemas.openxmlformats.org/drawingml/2006/wordprocessingDrawing" distT="0" distB="0" distL="0" distR="0">
                <wp:extent cx="1695449" cy="1695449"/>
                <wp:effectExtent l="0" t="0" r="1" b="1"/>
                <wp:docPr id="2" name="" hidden="false" title="Sticker zum Beitrag: ein Auge mit einem Häkchen-Symbol in der Mitt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 Auge mit einem Häkchen-Symbol in der Mitte"/>
                        <pic:cNvPicPr>
                          <a:picLocks noChangeAspect="1"/>
                        </pic:cNvPicPr>
                        <pic:nvPr isPhoto="0" userDrawn="0"/>
                      </pic:nvPicPr>
                      <pic:blipFill>
                        <a:blip r:embed="rId18"/>
                        <a:stretch/>
                      </pic:blipFill>
                      <pic:spPr bwMode="auto">
                        <a:xfrm rot="0" flipH="0" flipV="0">
                          <a:off x="0" y="0"/>
                          <a:ext cx="1695448" cy="169544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33.5pt;height:133.5pt;rotation:0;" stroked="false">
                <v:path textboxrect="0,0,0,0"/>
                <v:imagedata r:id="rId18" o:title=""/>
              </v:shape>
            </w:pict>
          </mc:Fallback>
        </mc:AlternateContent>
      </w:r>
      <w:r>
        <w:rPr>
          <w:sz w:val="24"/>
          <w:highlight w:val="none"/>
        </w:rPr>
        <mc:AlternateContent>
          <mc:Choice Requires="wpg">
            <w:drawing>
              <wp:inline xmlns:wp="http://schemas.openxmlformats.org/drawingml/2006/wordprocessingDrawing" distT="0" distB="0" distL="0" distR="0">
                <wp:extent cx="1695449" cy="1704974"/>
                <wp:effectExtent l="0" t="0" r="1" b="1"/>
                <wp:docPr id="3" name="" hidden="false" title="Sticker zum Beitrag: ein Dokument-Symbol und ein Studentenhu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 hidden="0" title="Sticker zum Beitrag: ein Dokument-Symbol und ein Studentenhut"/>
                        <pic:cNvPicPr>
                          <a:picLocks noChangeAspect="1"/>
                        </pic:cNvPicPr>
                        <pic:nvPr isPhoto="0" userDrawn="0"/>
                      </pic:nvPicPr>
                      <pic:blipFill>
                        <a:blip r:embed="rId19"/>
                        <a:stretch/>
                      </pic:blipFill>
                      <pic:spPr bwMode="auto">
                        <a:xfrm rot="0" flipH="0" flipV="0">
                          <a:off x="0" y="0"/>
                          <a:ext cx="1695449" cy="17049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33.5pt;height:134.2pt;rotation:0;" stroked="false">
                <v:path textboxrect="0,0,0,0"/>
                <v:imagedata r:id="rId19" o:title=""/>
              </v:shape>
            </w:pict>
          </mc:Fallback>
        </mc:AlternateContent>
      </w:r>
      <w:r>
        <w:rPr>
          <w:sz w:val="24"/>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6">
    <w:name w:val="Heading 1"/>
    <w:basedOn w:val="812"/>
    <w:next w:val="812"/>
    <w:link w:val="637"/>
    <w:qFormat/>
    <w:uiPriority w:val="9"/>
    <w:rPr>
      <w:rFonts w:ascii="Arial" w:hAnsi="Arial" w:cs="Arial" w:eastAsia="Arial"/>
      <w:sz w:val="40"/>
      <w:szCs w:val="40"/>
    </w:rPr>
    <w:pPr>
      <w:keepLines/>
      <w:keepNext/>
      <w:spacing w:after="200" w:before="480"/>
      <w:outlineLvl w:val="0"/>
    </w:pPr>
  </w:style>
  <w:style w:type="character" w:styleId="637">
    <w:name w:val="Heading 1 Char"/>
    <w:link w:val="636"/>
    <w:uiPriority w:val="9"/>
    <w:rPr>
      <w:rFonts w:ascii="Arial" w:hAnsi="Arial" w:cs="Arial" w:eastAsia="Arial"/>
      <w:sz w:val="40"/>
      <w:szCs w:val="40"/>
    </w:rPr>
  </w:style>
  <w:style w:type="paragraph" w:styleId="638">
    <w:name w:val="Heading 2"/>
    <w:basedOn w:val="812"/>
    <w:next w:val="812"/>
    <w:link w:val="639"/>
    <w:qFormat/>
    <w:uiPriority w:val="9"/>
    <w:unhideWhenUsed/>
    <w:rPr>
      <w:rFonts w:ascii="Arial" w:hAnsi="Arial" w:cs="Arial" w:eastAsia="Arial"/>
      <w:sz w:val="34"/>
    </w:rPr>
    <w:pPr>
      <w:keepLines/>
      <w:keepNext/>
      <w:spacing w:after="200" w:before="360"/>
      <w:outlineLvl w:val="1"/>
    </w:pPr>
  </w:style>
  <w:style w:type="character" w:styleId="639">
    <w:name w:val="Heading 2 Char"/>
    <w:link w:val="638"/>
    <w:uiPriority w:val="9"/>
    <w:rPr>
      <w:rFonts w:ascii="Arial" w:hAnsi="Arial" w:cs="Arial" w:eastAsia="Arial"/>
      <w:sz w:val="34"/>
    </w:rPr>
  </w:style>
  <w:style w:type="paragraph" w:styleId="640">
    <w:name w:val="Heading 3"/>
    <w:basedOn w:val="812"/>
    <w:next w:val="812"/>
    <w:link w:val="641"/>
    <w:qFormat/>
    <w:uiPriority w:val="9"/>
    <w:unhideWhenUsed/>
    <w:rPr>
      <w:rFonts w:ascii="Arial" w:hAnsi="Arial" w:cs="Arial" w:eastAsia="Arial"/>
      <w:sz w:val="30"/>
      <w:szCs w:val="30"/>
    </w:rPr>
    <w:pPr>
      <w:keepLines/>
      <w:keepNext/>
      <w:spacing w:after="200" w:before="320"/>
      <w:outlineLvl w:val="2"/>
    </w:pPr>
  </w:style>
  <w:style w:type="character" w:styleId="641">
    <w:name w:val="Heading 3 Char"/>
    <w:link w:val="640"/>
    <w:uiPriority w:val="9"/>
    <w:rPr>
      <w:rFonts w:ascii="Arial" w:hAnsi="Arial" w:cs="Arial" w:eastAsia="Arial"/>
      <w:sz w:val="30"/>
      <w:szCs w:val="30"/>
    </w:rPr>
  </w:style>
  <w:style w:type="paragraph" w:styleId="642">
    <w:name w:val="Heading 4"/>
    <w:basedOn w:val="812"/>
    <w:next w:val="812"/>
    <w:link w:val="643"/>
    <w:qFormat/>
    <w:uiPriority w:val="9"/>
    <w:unhideWhenUsed/>
    <w:rPr>
      <w:rFonts w:ascii="Arial" w:hAnsi="Arial" w:cs="Arial" w:eastAsia="Arial"/>
      <w:b/>
      <w:bCs/>
      <w:sz w:val="26"/>
      <w:szCs w:val="26"/>
    </w:rPr>
    <w:pPr>
      <w:keepLines/>
      <w:keepNext/>
      <w:spacing w:after="200" w:before="320"/>
      <w:outlineLvl w:val="3"/>
    </w:pPr>
  </w:style>
  <w:style w:type="character" w:styleId="643">
    <w:name w:val="Heading 4 Char"/>
    <w:link w:val="642"/>
    <w:uiPriority w:val="9"/>
    <w:rPr>
      <w:rFonts w:ascii="Arial" w:hAnsi="Arial" w:cs="Arial" w:eastAsia="Arial"/>
      <w:b/>
      <w:bCs/>
      <w:sz w:val="26"/>
      <w:szCs w:val="26"/>
    </w:rPr>
  </w:style>
  <w:style w:type="paragraph" w:styleId="644">
    <w:name w:val="Heading 5"/>
    <w:basedOn w:val="812"/>
    <w:next w:val="812"/>
    <w:link w:val="645"/>
    <w:qFormat/>
    <w:uiPriority w:val="9"/>
    <w:unhideWhenUsed/>
    <w:rPr>
      <w:rFonts w:ascii="Arial" w:hAnsi="Arial" w:cs="Arial" w:eastAsia="Arial"/>
      <w:b/>
      <w:bCs/>
      <w:sz w:val="24"/>
      <w:szCs w:val="24"/>
    </w:rPr>
    <w:pPr>
      <w:keepLines/>
      <w:keepNext/>
      <w:spacing w:after="200" w:before="320"/>
      <w:outlineLvl w:val="4"/>
    </w:pPr>
  </w:style>
  <w:style w:type="character" w:styleId="645">
    <w:name w:val="Heading 5 Char"/>
    <w:link w:val="644"/>
    <w:uiPriority w:val="9"/>
    <w:rPr>
      <w:rFonts w:ascii="Arial" w:hAnsi="Arial" w:cs="Arial" w:eastAsia="Arial"/>
      <w:b/>
      <w:bCs/>
      <w:sz w:val="24"/>
      <w:szCs w:val="24"/>
    </w:rPr>
  </w:style>
  <w:style w:type="paragraph" w:styleId="646">
    <w:name w:val="Heading 6"/>
    <w:basedOn w:val="812"/>
    <w:next w:val="812"/>
    <w:link w:val="647"/>
    <w:qFormat/>
    <w:uiPriority w:val="9"/>
    <w:unhideWhenUsed/>
    <w:rPr>
      <w:rFonts w:ascii="Arial" w:hAnsi="Arial" w:cs="Arial" w:eastAsia="Arial"/>
      <w:b/>
      <w:bCs/>
      <w:sz w:val="22"/>
      <w:szCs w:val="22"/>
    </w:rPr>
    <w:pPr>
      <w:keepLines/>
      <w:keepNext/>
      <w:spacing w:after="200" w:before="320"/>
      <w:outlineLvl w:val="5"/>
    </w:pPr>
  </w:style>
  <w:style w:type="character" w:styleId="647">
    <w:name w:val="Heading 6 Char"/>
    <w:link w:val="646"/>
    <w:uiPriority w:val="9"/>
    <w:rPr>
      <w:rFonts w:ascii="Arial" w:hAnsi="Arial" w:cs="Arial" w:eastAsia="Arial"/>
      <w:b/>
      <w:bCs/>
      <w:sz w:val="22"/>
      <w:szCs w:val="22"/>
    </w:rPr>
  </w:style>
  <w:style w:type="paragraph" w:styleId="648">
    <w:name w:val="Heading 7"/>
    <w:basedOn w:val="812"/>
    <w:next w:val="812"/>
    <w:link w:val="649"/>
    <w:qFormat/>
    <w:uiPriority w:val="9"/>
    <w:unhideWhenUsed/>
    <w:rPr>
      <w:rFonts w:ascii="Arial" w:hAnsi="Arial" w:cs="Arial" w:eastAsia="Arial"/>
      <w:b/>
      <w:bCs/>
      <w:i/>
      <w:iCs/>
      <w:sz w:val="22"/>
      <w:szCs w:val="22"/>
    </w:rPr>
    <w:pPr>
      <w:keepLines/>
      <w:keepNext/>
      <w:spacing w:after="200" w:before="320"/>
      <w:outlineLvl w:val="6"/>
    </w:pPr>
  </w:style>
  <w:style w:type="character" w:styleId="649">
    <w:name w:val="Heading 7 Char"/>
    <w:link w:val="648"/>
    <w:uiPriority w:val="9"/>
    <w:rPr>
      <w:rFonts w:ascii="Arial" w:hAnsi="Arial" w:cs="Arial" w:eastAsia="Arial"/>
      <w:b/>
      <w:bCs/>
      <w:i/>
      <w:iCs/>
      <w:sz w:val="22"/>
      <w:szCs w:val="22"/>
    </w:rPr>
  </w:style>
  <w:style w:type="paragraph" w:styleId="650">
    <w:name w:val="Heading 8"/>
    <w:basedOn w:val="812"/>
    <w:next w:val="812"/>
    <w:link w:val="651"/>
    <w:qFormat/>
    <w:uiPriority w:val="9"/>
    <w:unhideWhenUsed/>
    <w:rPr>
      <w:rFonts w:ascii="Arial" w:hAnsi="Arial" w:cs="Arial" w:eastAsia="Arial"/>
      <w:i/>
      <w:iCs/>
      <w:sz w:val="22"/>
      <w:szCs w:val="22"/>
    </w:rPr>
    <w:pPr>
      <w:keepLines/>
      <w:keepNext/>
      <w:spacing w:after="200" w:before="320"/>
      <w:outlineLvl w:val="7"/>
    </w:pPr>
  </w:style>
  <w:style w:type="character" w:styleId="651">
    <w:name w:val="Heading 8 Char"/>
    <w:link w:val="650"/>
    <w:uiPriority w:val="9"/>
    <w:rPr>
      <w:rFonts w:ascii="Arial" w:hAnsi="Arial" w:cs="Arial" w:eastAsia="Arial"/>
      <w:i/>
      <w:iCs/>
      <w:sz w:val="22"/>
      <w:szCs w:val="22"/>
    </w:rPr>
  </w:style>
  <w:style w:type="paragraph" w:styleId="652">
    <w:name w:val="Heading 9"/>
    <w:basedOn w:val="812"/>
    <w:next w:val="812"/>
    <w:link w:val="653"/>
    <w:qFormat/>
    <w:uiPriority w:val="9"/>
    <w:unhideWhenUsed/>
    <w:rPr>
      <w:rFonts w:ascii="Arial" w:hAnsi="Arial" w:cs="Arial" w:eastAsia="Arial"/>
      <w:i/>
      <w:iCs/>
      <w:sz w:val="21"/>
      <w:szCs w:val="21"/>
    </w:rPr>
    <w:pPr>
      <w:keepLines/>
      <w:keepNext/>
      <w:spacing w:after="200" w:before="320"/>
      <w:outlineLvl w:val="8"/>
    </w:pPr>
  </w:style>
  <w:style w:type="character" w:styleId="653">
    <w:name w:val="Heading 9 Char"/>
    <w:link w:val="652"/>
    <w:uiPriority w:val="9"/>
    <w:rPr>
      <w:rFonts w:ascii="Arial" w:hAnsi="Arial" w:cs="Arial" w:eastAsia="Arial"/>
      <w:i/>
      <w:iCs/>
      <w:sz w:val="21"/>
      <w:szCs w:val="21"/>
    </w:rPr>
  </w:style>
  <w:style w:type="paragraph" w:styleId="654">
    <w:name w:val="Title"/>
    <w:basedOn w:val="812"/>
    <w:next w:val="812"/>
    <w:link w:val="655"/>
    <w:qFormat/>
    <w:uiPriority w:val="10"/>
    <w:rPr>
      <w:sz w:val="48"/>
      <w:szCs w:val="48"/>
    </w:rPr>
    <w:pPr>
      <w:contextualSpacing w:val="true"/>
      <w:spacing w:after="200" w:before="300"/>
    </w:pPr>
  </w:style>
  <w:style w:type="character" w:styleId="655">
    <w:name w:val="Title Char"/>
    <w:link w:val="654"/>
    <w:uiPriority w:val="10"/>
    <w:rPr>
      <w:sz w:val="48"/>
      <w:szCs w:val="48"/>
    </w:rPr>
  </w:style>
  <w:style w:type="paragraph" w:styleId="656">
    <w:name w:val="Subtitle"/>
    <w:basedOn w:val="812"/>
    <w:next w:val="812"/>
    <w:link w:val="657"/>
    <w:qFormat/>
    <w:uiPriority w:val="11"/>
    <w:rPr>
      <w:sz w:val="24"/>
      <w:szCs w:val="24"/>
    </w:rPr>
    <w:pPr>
      <w:spacing w:after="200" w:before="200"/>
    </w:pPr>
  </w:style>
  <w:style w:type="character" w:styleId="657">
    <w:name w:val="Subtitle Char"/>
    <w:link w:val="656"/>
    <w:uiPriority w:val="11"/>
    <w:rPr>
      <w:sz w:val="24"/>
      <w:szCs w:val="24"/>
    </w:rPr>
  </w:style>
  <w:style w:type="paragraph" w:styleId="658">
    <w:name w:val="Quote"/>
    <w:basedOn w:val="812"/>
    <w:next w:val="812"/>
    <w:link w:val="659"/>
    <w:qFormat/>
    <w:uiPriority w:val="29"/>
    <w:rPr>
      <w:i/>
    </w:rPr>
    <w:pPr>
      <w:ind w:left="720" w:right="720"/>
    </w:pPr>
  </w:style>
  <w:style w:type="character" w:styleId="659">
    <w:name w:val="Quote Char"/>
    <w:link w:val="658"/>
    <w:uiPriority w:val="29"/>
    <w:rPr>
      <w:i/>
    </w:rPr>
  </w:style>
  <w:style w:type="paragraph" w:styleId="660">
    <w:name w:val="Intense Quote"/>
    <w:basedOn w:val="812"/>
    <w:next w:val="812"/>
    <w:link w:val="66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61">
    <w:name w:val="Intense Quote Char"/>
    <w:link w:val="660"/>
    <w:uiPriority w:val="30"/>
    <w:rPr>
      <w:i/>
    </w:rPr>
  </w:style>
  <w:style w:type="paragraph" w:styleId="662">
    <w:name w:val="Header"/>
    <w:basedOn w:val="812"/>
    <w:link w:val="663"/>
    <w:uiPriority w:val="99"/>
    <w:unhideWhenUsed/>
    <w:pPr>
      <w:spacing w:lineRule="auto" w:line="240" w:after="0"/>
      <w:tabs>
        <w:tab w:val="center" w:pos="7143" w:leader="none"/>
        <w:tab w:val="right" w:pos="14287" w:leader="none"/>
      </w:tabs>
    </w:pPr>
  </w:style>
  <w:style w:type="character" w:styleId="663">
    <w:name w:val="Header Char"/>
    <w:link w:val="662"/>
    <w:uiPriority w:val="99"/>
  </w:style>
  <w:style w:type="paragraph" w:styleId="664">
    <w:name w:val="Footer"/>
    <w:basedOn w:val="812"/>
    <w:link w:val="667"/>
    <w:uiPriority w:val="99"/>
    <w:unhideWhenUsed/>
    <w:pPr>
      <w:spacing w:lineRule="auto" w:line="240" w:after="0"/>
      <w:tabs>
        <w:tab w:val="center" w:pos="7143" w:leader="none"/>
        <w:tab w:val="right" w:pos="14287" w:leader="none"/>
      </w:tabs>
    </w:pPr>
  </w:style>
  <w:style w:type="character" w:styleId="665">
    <w:name w:val="Footer Char"/>
    <w:link w:val="664"/>
    <w:uiPriority w:val="99"/>
  </w:style>
  <w:style w:type="paragraph" w:styleId="666">
    <w:name w:val="Caption"/>
    <w:basedOn w:val="812"/>
    <w:next w:val="812"/>
    <w:qFormat/>
    <w:uiPriority w:val="35"/>
    <w:semiHidden/>
    <w:unhideWhenUsed/>
    <w:rPr>
      <w:b/>
      <w:bCs/>
      <w:color w:val="4F81BD" w:themeColor="accent1"/>
      <w:sz w:val="18"/>
      <w:szCs w:val="18"/>
    </w:rPr>
    <w:pPr>
      <w:spacing w:lineRule="auto" w:line="276"/>
    </w:pPr>
  </w:style>
  <w:style w:type="character" w:styleId="667">
    <w:name w:val="Caption Char"/>
    <w:basedOn w:val="666"/>
    <w:link w:val="664"/>
    <w:uiPriority w:val="99"/>
  </w:style>
  <w:style w:type="table" w:styleId="668">
    <w:name w:val="Table Grid"/>
    <w:basedOn w:val="81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69">
    <w:name w:val="Table Grid Light"/>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70">
    <w:name w:val="Plain Table 1"/>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1">
    <w:name w:val="Plain Table 2"/>
    <w:basedOn w:val="81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2">
    <w:name w:val="Plain Table 3"/>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3">
    <w:name w:val="Plain Table 4"/>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4">
    <w:name w:val="Plain Table 5"/>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75">
    <w:name w:val="Grid Table 1 Light"/>
    <w:basedOn w:val="81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6">
    <w:name w:val="Grid Table 1 Light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7">
    <w:name w:val="Grid Table 1 Light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78">
    <w:name w:val="Grid Table 1 Light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79">
    <w:name w:val="Grid Table 1 Light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80">
    <w:name w:val="Grid Table 1 Light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81">
    <w:name w:val="Grid Table 1 Light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2">
    <w:name w:val="Grid Table 2"/>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3">
    <w:name w:val="Grid Table 2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4">
    <w:name w:val="Grid Table 2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5">
    <w:name w:val="Grid Table 2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6">
    <w:name w:val="Grid Table 2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7">
    <w:name w:val="Grid Table 2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88">
    <w:name w:val="Grid Table 2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89">
    <w:name w:val="Grid Table 3"/>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0">
    <w:name w:val="Grid Table 3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1">
    <w:name w:val="Grid Table 3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4">
    <w:name w:val="Grid Table 3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5">
    <w:name w:val="Grid Table 3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6">
    <w:name w:val="Grid Table 4"/>
    <w:basedOn w:val="81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7">
    <w:name w:val="Grid Table 4 - Accent 1"/>
    <w:basedOn w:val="81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698">
    <w:name w:val="Grid Table 4 - Accent 2"/>
    <w:basedOn w:val="81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699">
    <w:name w:val="Grid Table 4 - Accent 3"/>
    <w:basedOn w:val="81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00">
    <w:name w:val="Grid Table 4 - Accent 4"/>
    <w:basedOn w:val="81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01">
    <w:name w:val="Grid Table 4 - Accent 5"/>
    <w:basedOn w:val="81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2">
    <w:name w:val="Grid Table 4 - Accent 6"/>
    <w:basedOn w:val="81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3">
    <w:name w:val="Grid Table 5 Dark"/>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4">
    <w:name w:val="Grid Table 5 Dark- Accent 1"/>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5">
    <w:name w:val="Grid Table 5 Dark - Accent 2"/>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6">
    <w:name w:val="Grid Table 5 Dark - Accent 3"/>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7">
    <w:name w:val="Grid Table 5 Dark- Accent 4"/>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8">
    <w:name w:val="Grid Table 5 Dark - Accent 5"/>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9">
    <w:name w:val="Grid Table 5 Dark - Accent 6"/>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0">
    <w:name w:val="Grid Table 6 Colorful"/>
    <w:basedOn w:val="81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1">
    <w:name w:val="Grid Table 6 Colorful - Accent 1"/>
    <w:basedOn w:val="81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2">
    <w:name w:val="Grid Table 6 Colorful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3">
    <w:name w:val="Grid Table 6 Colorful - Accent 3"/>
    <w:basedOn w:val="81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4">
    <w:name w:val="Grid Table 6 Colorful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5">
    <w:name w:val="Grid Table 6 Colorful - Accent 5"/>
    <w:basedOn w:val="81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6">
    <w:name w:val="Grid Table 6 Colorful - Accent 6"/>
    <w:basedOn w:val="81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7">
    <w:name w:val="Grid Table 7 Colorful"/>
    <w:basedOn w:val="81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18">
    <w:name w:val="Grid Table 7 Colorful - Accent 1"/>
    <w:basedOn w:val="81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19">
    <w:name w:val="Grid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20">
    <w:name w:val="Grid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21">
    <w:name w:val="Grid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22">
    <w:name w:val="Grid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23">
    <w:name w:val="Grid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24">
    <w:name w:val="List Table 1 Light"/>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5">
    <w:name w:val="List Table 1 Light - Accent 1"/>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6">
    <w:name w:val="List Table 1 Light - Accent 2"/>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7">
    <w:name w:val="List Table 1 Light - Accent 3"/>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28">
    <w:name w:val="List Table 1 Light - Accent 4"/>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29">
    <w:name w:val="List Table 1 Light - Accent 5"/>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30">
    <w:name w:val="List Table 1 Light - Accent 6"/>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31">
    <w:name w:val="List Table 2"/>
    <w:basedOn w:val="81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2">
    <w:name w:val="List Table 2 - Accent 1"/>
    <w:basedOn w:val="81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3">
    <w:name w:val="List Table 2 - Accent 2"/>
    <w:basedOn w:val="81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4">
    <w:name w:val="List Table 2 - Accent 3"/>
    <w:basedOn w:val="81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5">
    <w:name w:val="List Table 2 - Accent 4"/>
    <w:basedOn w:val="81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6">
    <w:name w:val="List Table 2 - Accent 5"/>
    <w:basedOn w:val="81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7">
    <w:name w:val="List Table 2 - Accent 6"/>
    <w:basedOn w:val="81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38">
    <w:name w:val="List Table 3"/>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9">
    <w:name w:val="List Table 3 - Accent 1"/>
    <w:basedOn w:val="81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0">
    <w:name w:val="List Table 3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1">
    <w:name w:val="List Table 3 - Accent 3"/>
    <w:basedOn w:val="81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2">
    <w:name w:val="List Table 3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3">
    <w:name w:val="List Table 3 - Accent 5"/>
    <w:basedOn w:val="81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4">
    <w:name w:val="List Table 3 - Accent 6"/>
    <w:basedOn w:val="81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5">
    <w:name w:val="List Table 4"/>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6">
    <w:name w:val="List Table 4 - Accent 1"/>
    <w:basedOn w:val="81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7">
    <w:name w:val="List Table 4 - Accent 2"/>
    <w:basedOn w:val="81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8">
    <w:name w:val="List Table 4 - Accent 3"/>
    <w:basedOn w:val="81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4 - Accent 4"/>
    <w:basedOn w:val="81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4 - Accent 5"/>
    <w:basedOn w:val="81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4 - Accent 6"/>
    <w:basedOn w:val="81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5 Dark"/>
    <w:basedOn w:val="81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1"/>
    <w:basedOn w:val="81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2"/>
    <w:basedOn w:val="81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3"/>
    <w:basedOn w:val="81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4"/>
    <w:basedOn w:val="81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5"/>
    <w:basedOn w:val="81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6"/>
    <w:basedOn w:val="81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6 Colorful"/>
    <w:basedOn w:val="81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60">
    <w:name w:val="List Table 6 Colorful - Accent 1"/>
    <w:basedOn w:val="81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61">
    <w:name w:val="List Table 6 Colorful - Accent 2"/>
    <w:basedOn w:val="81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2">
    <w:name w:val="List Table 6 Colorful - Accent 3"/>
    <w:basedOn w:val="81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3">
    <w:name w:val="List Table 6 Colorful - Accent 4"/>
    <w:basedOn w:val="81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4">
    <w:name w:val="List Table 6 Colorful - Accent 5"/>
    <w:basedOn w:val="81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5">
    <w:name w:val="List Table 6 Colorful - Accent 6"/>
    <w:basedOn w:val="81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6">
    <w:name w:val="List Table 7 Colorful"/>
    <w:basedOn w:val="81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7">
    <w:name w:val="List Table 7 Colorful - Accent 1"/>
    <w:basedOn w:val="81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68">
    <w:name w:val="List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69">
    <w:name w:val="List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70">
    <w:name w:val="List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71">
    <w:name w:val="List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2">
    <w:name w:val="List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3">
    <w:name w:val="Lined - Accent"/>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4">
    <w:name w:val="Lined - Accent 1"/>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5">
    <w:name w:val="Lined - Accent 2"/>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6">
    <w:name w:val="Lined - Accent 3"/>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7">
    <w:name w:val="Lined - Accent 4"/>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8">
    <w:name w:val="Lined - Accent 5"/>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9">
    <w:name w:val="Lined - Accent 6"/>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0">
    <w:name w:val="Bordered &amp; Lined - Accent"/>
    <w:basedOn w:val="81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1">
    <w:name w:val="Bordered &amp; Lined - Accent 1"/>
    <w:basedOn w:val="81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2">
    <w:name w:val="Bordered &amp; Lined - Accent 2"/>
    <w:basedOn w:val="81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3">
    <w:name w:val="Bordered &amp; Lined - Accent 3"/>
    <w:basedOn w:val="81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Bordered &amp; Lined - Accent 4"/>
    <w:basedOn w:val="81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Bordered &amp; Lined - Accent 5"/>
    <w:basedOn w:val="81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Bordered &amp; Lined - Accent 6"/>
    <w:basedOn w:val="81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Bordered"/>
    <w:basedOn w:val="81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88">
    <w:name w:val="Bordered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89">
    <w:name w:val="Bordered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90">
    <w:name w:val="Bordered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91">
    <w:name w:val="Bordered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2">
    <w:name w:val="Bordered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3">
    <w:name w:val="Bordered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4">
    <w:name w:val="Hyperlink"/>
    <w:uiPriority w:val="99"/>
    <w:unhideWhenUsed/>
    <w:rPr>
      <w:color w:val="0000FF" w:themeColor="hyperlink"/>
      <w:u w:val="single"/>
    </w:rPr>
  </w:style>
  <w:style w:type="paragraph" w:styleId="795">
    <w:name w:val="footnote text"/>
    <w:basedOn w:val="812"/>
    <w:link w:val="796"/>
    <w:uiPriority w:val="99"/>
    <w:semiHidden/>
    <w:unhideWhenUsed/>
    <w:rPr>
      <w:sz w:val="18"/>
    </w:rPr>
    <w:pPr>
      <w:spacing w:lineRule="auto" w:line="240" w:after="40"/>
    </w:pPr>
  </w:style>
  <w:style w:type="character" w:styleId="796">
    <w:name w:val="Footnote Text Char"/>
    <w:link w:val="795"/>
    <w:uiPriority w:val="99"/>
    <w:rPr>
      <w:sz w:val="18"/>
    </w:rPr>
  </w:style>
  <w:style w:type="character" w:styleId="797">
    <w:name w:val="footnote reference"/>
    <w:uiPriority w:val="99"/>
    <w:unhideWhenUsed/>
    <w:rPr>
      <w:vertAlign w:val="superscript"/>
    </w:rPr>
  </w:style>
  <w:style w:type="paragraph" w:styleId="798">
    <w:name w:val="endnote text"/>
    <w:basedOn w:val="812"/>
    <w:link w:val="799"/>
    <w:uiPriority w:val="99"/>
    <w:semiHidden/>
    <w:unhideWhenUsed/>
    <w:rPr>
      <w:sz w:val="20"/>
    </w:rPr>
    <w:pPr>
      <w:spacing w:lineRule="auto" w:line="240" w:after="0"/>
    </w:pPr>
  </w:style>
  <w:style w:type="character" w:styleId="799">
    <w:name w:val="Endnote Text Char"/>
    <w:link w:val="798"/>
    <w:uiPriority w:val="99"/>
    <w:rPr>
      <w:sz w:val="20"/>
    </w:rPr>
  </w:style>
  <w:style w:type="character" w:styleId="800">
    <w:name w:val="endnote reference"/>
    <w:uiPriority w:val="99"/>
    <w:semiHidden/>
    <w:unhideWhenUsed/>
    <w:rPr>
      <w:vertAlign w:val="superscript"/>
    </w:rPr>
  </w:style>
  <w:style w:type="paragraph" w:styleId="801">
    <w:name w:val="toc 1"/>
    <w:basedOn w:val="812"/>
    <w:next w:val="812"/>
    <w:uiPriority w:val="39"/>
    <w:unhideWhenUsed/>
    <w:pPr>
      <w:ind w:left="0" w:right="0" w:firstLine="0"/>
      <w:spacing w:after="57"/>
    </w:pPr>
  </w:style>
  <w:style w:type="paragraph" w:styleId="802">
    <w:name w:val="toc 2"/>
    <w:basedOn w:val="812"/>
    <w:next w:val="812"/>
    <w:uiPriority w:val="39"/>
    <w:unhideWhenUsed/>
    <w:pPr>
      <w:ind w:left="283" w:right="0" w:firstLine="0"/>
      <w:spacing w:after="57"/>
    </w:pPr>
  </w:style>
  <w:style w:type="paragraph" w:styleId="803">
    <w:name w:val="toc 3"/>
    <w:basedOn w:val="812"/>
    <w:next w:val="812"/>
    <w:uiPriority w:val="39"/>
    <w:unhideWhenUsed/>
    <w:pPr>
      <w:ind w:left="567" w:right="0" w:firstLine="0"/>
      <w:spacing w:after="57"/>
    </w:pPr>
  </w:style>
  <w:style w:type="paragraph" w:styleId="804">
    <w:name w:val="toc 4"/>
    <w:basedOn w:val="812"/>
    <w:next w:val="812"/>
    <w:uiPriority w:val="39"/>
    <w:unhideWhenUsed/>
    <w:pPr>
      <w:ind w:left="850" w:right="0" w:firstLine="0"/>
      <w:spacing w:after="57"/>
    </w:pPr>
  </w:style>
  <w:style w:type="paragraph" w:styleId="805">
    <w:name w:val="toc 5"/>
    <w:basedOn w:val="812"/>
    <w:next w:val="812"/>
    <w:uiPriority w:val="39"/>
    <w:unhideWhenUsed/>
    <w:pPr>
      <w:ind w:left="1134" w:right="0" w:firstLine="0"/>
      <w:spacing w:after="57"/>
    </w:pPr>
  </w:style>
  <w:style w:type="paragraph" w:styleId="806">
    <w:name w:val="toc 6"/>
    <w:basedOn w:val="812"/>
    <w:next w:val="812"/>
    <w:uiPriority w:val="39"/>
    <w:unhideWhenUsed/>
    <w:pPr>
      <w:ind w:left="1417" w:right="0" w:firstLine="0"/>
      <w:spacing w:after="57"/>
    </w:pPr>
  </w:style>
  <w:style w:type="paragraph" w:styleId="807">
    <w:name w:val="toc 7"/>
    <w:basedOn w:val="812"/>
    <w:next w:val="812"/>
    <w:uiPriority w:val="39"/>
    <w:unhideWhenUsed/>
    <w:pPr>
      <w:ind w:left="1701" w:right="0" w:firstLine="0"/>
      <w:spacing w:after="57"/>
    </w:pPr>
  </w:style>
  <w:style w:type="paragraph" w:styleId="808">
    <w:name w:val="toc 8"/>
    <w:basedOn w:val="812"/>
    <w:next w:val="812"/>
    <w:uiPriority w:val="39"/>
    <w:unhideWhenUsed/>
    <w:pPr>
      <w:ind w:left="1984" w:right="0" w:firstLine="0"/>
      <w:spacing w:after="57"/>
    </w:pPr>
  </w:style>
  <w:style w:type="paragraph" w:styleId="809">
    <w:name w:val="toc 9"/>
    <w:basedOn w:val="812"/>
    <w:next w:val="812"/>
    <w:uiPriority w:val="39"/>
    <w:unhideWhenUsed/>
    <w:pPr>
      <w:ind w:left="2268" w:right="0" w:firstLine="0"/>
      <w:spacing w:after="57"/>
    </w:pPr>
  </w:style>
  <w:style w:type="paragraph" w:styleId="810">
    <w:name w:val="TOC Heading"/>
    <w:uiPriority w:val="39"/>
    <w:unhideWhenUsed/>
  </w:style>
  <w:style w:type="paragraph" w:styleId="811">
    <w:name w:val="table of figures"/>
    <w:basedOn w:val="812"/>
    <w:next w:val="812"/>
    <w:uiPriority w:val="99"/>
    <w:unhideWhenUsed/>
    <w:pPr>
      <w:spacing w:after="0" w:afterAutospacing="0"/>
    </w:pPr>
  </w:style>
  <w:style w:type="paragraph" w:styleId="812" w:default="1">
    <w:name w:val="Normal"/>
    <w:qFormat/>
  </w:style>
  <w:style w:type="table" w:styleId="813" w:default="1">
    <w:name w:val="Normal Table"/>
    <w:uiPriority w:val="99"/>
    <w:semiHidden/>
    <w:unhideWhenUsed/>
    <w:tblPr>
      <w:tblInd w:w="0" w:type="dxa"/>
      <w:tblCellMar>
        <w:left w:w="108" w:type="dxa"/>
        <w:top w:w="0" w:type="dxa"/>
        <w:right w:w="108" w:type="dxa"/>
        <w:bottom w:w="0" w:type="dxa"/>
      </w:tblCellMar>
    </w:tblPr>
  </w:style>
  <w:style w:type="numbering" w:styleId="814" w:default="1">
    <w:name w:val="No List"/>
    <w:uiPriority w:val="99"/>
    <w:semiHidden/>
    <w:unhideWhenUsed/>
  </w:style>
  <w:style w:type="paragraph" w:styleId="815">
    <w:name w:val="No Spacing"/>
    <w:basedOn w:val="812"/>
    <w:qFormat/>
    <w:uiPriority w:val="1"/>
    <w:pPr>
      <w:spacing w:lineRule="auto" w:line="240" w:after="0"/>
    </w:pPr>
  </w:style>
  <w:style w:type="paragraph" w:styleId="816">
    <w:name w:val="List Paragraph"/>
    <w:basedOn w:val="812"/>
    <w:qFormat/>
    <w:uiPriority w:val="34"/>
    <w:pPr>
      <w:contextualSpacing w:val="true"/>
      <w:ind w:left="720"/>
    </w:pPr>
  </w:style>
  <w:style w:type="character" w:styleId="81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image" Target="media/image1.png"/><Relationship Id="rId12" Type="http://schemas.openxmlformats.org/officeDocument/2006/relationships/hyperlink" Target="http://tc.tugraz.at" TargetMode="External"/><Relationship Id="rId13" Type="http://schemas.openxmlformats.org/officeDocument/2006/relationships/hyperlink" Target="http://imoox.at" TargetMode="External"/><Relationship Id="rId14" Type="http://schemas.openxmlformats.org/officeDocument/2006/relationships/hyperlink" Target="http://tube.tugraz.at" TargetMode="External"/><Relationship Id="rId15" Type="http://schemas.openxmlformats.org/officeDocument/2006/relationships/hyperlink" Target="http://elearning.tugraz.at" TargetMode="External"/><Relationship Id="rId16" Type="http://schemas.openxmlformats.org/officeDocument/2006/relationships/hyperlink" Target="http://elearning.tugraz.at" TargetMode="External"/><Relationship Id="rId17" Type="http://schemas.openxmlformats.org/officeDocument/2006/relationships/hyperlink" Target="http://learninglab.tugraz.at" TargetMode="External"/><Relationship Id="rId18" Type="http://schemas.openxmlformats.org/officeDocument/2006/relationships/image" Target="media/image2.jpg"/><Relationship Id="rId19" Type="http://schemas.openxmlformats.org/officeDocument/2006/relationships/image" Target="media/image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#01 Die Organisationseinheit L L T – Teil 2 Lehr- und Lerntechnologien an der T U Graz</dc:title>
  <dc:subject/>
  <dc:creator>Walther Nagler</dc:creator>
  <dc:description/>
  <cp:lastModifiedBy>Valgoi, Elisabetta (e.valgoi@tugraz.at)</cp:lastModifiedBy>
  <cp:revision>7</cp:revision>
  <dcterms:modified xsi:type="dcterms:W3CDTF">2021-07-22T08:31:42Z</dcterms:modified>
</cp:coreProperties>
</file>