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38"/>
        <w:contextualSpacing w:val="false"/>
        <w:jc w:val="left"/>
        <w:spacing w:lineRule="auto" w:line="276" w:after="198" w:before="200"/>
        <w:rPr>
          <w:b/>
        </w:rPr>
        <w:suppressLineNumbers w:val="0"/>
      </w:pPr>
      <w:r>
        <w:rPr>
          <w:b/>
        </w:rPr>
      </w:r>
      <w:r>
        <w:rPr>
          <w:b/>
        </w:rPr>
        <w:t xml:space="preserve">Hochschule </w:t>
      </w:r>
      <w:r>
        <w:rPr>
          <w:b/>
        </w:rPr>
        <w:t xml:space="preserve">#02 O E R – FREIE BILDUNGSRESSOURCEN</w:t>
      </w:r>
      <w:r>
        <w:rPr>
          <w:b/>
        </w:rPr>
      </w:r>
      <w:r/>
    </w:p>
    <w:tbl>
      <w:tblPr>
        <w:tblStyle w:val="672"/>
        <w:tblW w:w="0" w:type="auto"/>
        <w:tblLook w:val="0480" w:firstRow="0" w:lastRow="0" w:firstColumn="1" w:lastColumn="0" w:noHBand="0" w:noVBand="1"/>
      </w:tblPr>
      <w:tblGrid>
        <w:gridCol w:w="4677"/>
        <w:gridCol w:w="4677"/>
      </w:tblGrid>
      <w:tr>
        <w:trPr/>
        <w:tc>
          <w:tcPr>
            <w:tcW w:w="4677" w:type="dxa"/>
            <w:textDirection w:val="lrTb"/>
            <w:noWrap w:val="false"/>
          </w:tcPr>
          <w:p>
            <w:pPr>
              <w:contextualSpacing w:val="false"/>
              <w:jc w:val="left"/>
              <w:spacing w:lineRule="auto" w:line="276" w:after="198" w:before="200"/>
              <w:rPr>
                <w:b/>
                <w:color w:val="000000"/>
                <w:spacing w:val="0"/>
                <w:sz w:val="24"/>
                <w:highlight w:val="none"/>
              </w:rPr>
              <w:suppressLineNumbers w:val="0"/>
            </w:pPr>
            <w:r>
              <w:rPr>
                <w:b/>
                <w:color w:val="000000" w:themeColor="text1"/>
                <w:spacing w:val="0"/>
                <w:sz w:val="24"/>
              </w:rPr>
              <w:t xml:space="preserve">Autor:innen</w:t>
            </w:r>
            <w:r>
              <w:rPr>
                <w:b/>
                <w:sz w:val="24"/>
              </w:rPr>
            </w:r>
            <w:r/>
          </w:p>
        </w:tc>
        <w:tc>
          <w:tcPr>
            <w:tcW w:w="4677" w:type="dxa"/>
            <w:textDirection w:val="lrTb"/>
            <w:noWrap w:val="false"/>
          </w:tcPr>
          <w:p>
            <w:pPr>
              <w:contextualSpacing w:val="false"/>
              <w:jc w:val="left"/>
              <w:spacing w:lineRule="auto" w:line="276" w:after="198" w:before="200"/>
              <w:rPr>
                <w:b w:val="false"/>
                <w:spacing w:val="0"/>
                <w:sz w:val="24"/>
              </w:rPr>
              <w:suppressLineNumbers w:val="0"/>
            </w:pPr>
            <w:r>
              <w:rPr>
                <w:b w:val="false"/>
                <w:spacing w:val="0"/>
                <w:sz w:val="24"/>
              </w:rPr>
              <w:t xml:space="preserve">Maria Haas</w:t>
            </w:r>
            <w:r/>
          </w:p>
        </w:tc>
      </w:tr>
      <w:tr>
        <w:trPr/>
        <w:tc>
          <w:tcPr>
            <w:tcW w:w="4677" w:type="dxa"/>
            <w:textDirection w:val="lrTb"/>
            <w:noWrap w:val="false"/>
          </w:tcPr>
          <w:p>
            <w:pPr>
              <w:contextualSpacing w:val="false"/>
              <w:jc w:val="left"/>
              <w:spacing w:lineRule="auto" w:line="276" w:after="198" w:before="200"/>
              <w:rPr>
                <w:b/>
                <w:color w:val="000000"/>
                <w:spacing w:val="0"/>
                <w:sz w:val="24"/>
              </w:rPr>
              <w:suppressLineNumbers w:val="0"/>
            </w:pPr>
            <w:r>
              <w:rPr>
                <w:b/>
                <w:color w:val="000000" w:themeColor="text1"/>
                <w:spacing w:val="0"/>
                <w:sz w:val="24"/>
              </w:rPr>
              <w:t xml:space="preserve">Veröffentlichung</w:t>
            </w:r>
            <w:r>
              <w:rPr>
                <w:b/>
                <w:sz w:val="24"/>
              </w:rPr>
            </w:r>
            <w:r/>
          </w:p>
        </w:tc>
        <w:tc>
          <w:tcPr>
            <w:tcW w:w="4677" w:type="dxa"/>
            <w:textDirection w:val="lrTb"/>
            <w:noWrap w:val="false"/>
          </w:tcPr>
          <w:p>
            <w:pPr>
              <w:contextualSpacing w:val="false"/>
              <w:jc w:val="left"/>
              <w:spacing w:lineRule="auto" w:line="276" w:after="198" w:before="200"/>
              <w:rPr>
                <w:b w:val="false"/>
                <w:spacing w:val="0"/>
                <w:sz w:val="24"/>
              </w:rPr>
              <w:suppressLineNumbers w:val="0"/>
            </w:pPr>
            <w:r>
              <w:rPr>
                <w:b w:val="false"/>
                <w:spacing w:val="0"/>
                <w:sz w:val="24"/>
              </w:rPr>
            </w:r>
            <w:r>
              <w:rPr>
                <w:b w:val="false"/>
                <w:spacing w:val="0"/>
                <w:sz w:val="24"/>
              </w:rPr>
              <w:t xml:space="preserve">September 2019</w:t>
            </w:r>
            <w:r>
              <w:rPr>
                <w:sz w:val="24"/>
              </w:rPr>
            </w:r>
            <w:r/>
          </w:p>
        </w:tc>
      </w:tr>
      <w:tr>
        <w:trPr/>
        <w:tc>
          <w:tcPr>
            <w:tcW w:w="4677" w:type="dxa"/>
            <w:textDirection w:val="lrTb"/>
            <w:noWrap w:val="false"/>
          </w:tcPr>
          <w:p>
            <w:pPr>
              <w:contextualSpacing w:val="false"/>
              <w:jc w:val="left"/>
              <w:spacing w:lineRule="auto" w:line="276" w:after="198" w:before="200"/>
              <w:rPr>
                <w:b/>
                <w:color w:val="000000"/>
                <w:spacing w:val="0"/>
                <w:sz w:val="24"/>
              </w:rPr>
              <w:suppressLineNumbers w:val="0"/>
            </w:pPr>
            <w:r>
              <w:rPr>
                <w:b/>
                <w:color w:val="000000" w:themeColor="text1"/>
                <w:spacing w:val="0"/>
                <w:sz w:val="24"/>
              </w:rPr>
              <w:t xml:space="preserve">Lizenz</w:t>
            </w:r>
            <w:r>
              <w:rPr>
                <w:b/>
                <w:sz w:val="24"/>
              </w:rPr>
            </w:r>
            <w:r/>
          </w:p>
        </w:tc>
        <w:tc>
          <w:tcPr>
            <w:tcW w:w="4677" w:type="dxa"/>
            <w:textDirection w:val="lrTb"/>
            <w:noWrap w:val="false"/>
          </w:tcPr>
          <w:p>
            <w:pPr>
              <w:contextualSpacing w:val="false"/>
              <w:ind w:left="0" w:right="0" w:firstLine="0"/>
              <w:jc w:val="left"/>
              <w:spacing w:lineRule="auto" w:line="276" w:after="198" w:before="200"/>
              <w:rPr>
                <w:b w:val="false"/>
                <w:spacing w:val="0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  <w:suppressLineNumbers w:val="0"/>
            </w:pPr>
            <w:r>
              <w:rPr>
                <w:b w:val="false"/>
                <w:spacing w:val="0"/>
                <w:sz w:val="24"/>
              </w:rPr>
            </w:r>
            <w:r>
              <w:rPr>
                <w:b w:val="false"/>
                <w:spacing w:val="0"/>
                <w:sz w:val="24"/>
              </w:rPr>
              <w:t xml:space="preserve">Lizenziert unter der </w:t>
            </w:r>
            <w:hyperlink r:id="rId10" w:tooltip="CC BY-SA 4.0" w:history="1">
              <w:r>
                <w:rPr>
                  <w:rStyle w:val="796"/>
                  <w:b w:val="false"/>
                  <w:spacing w:val="0"/>
                  <w:sz w:val="24"/>
                </w:rPr>
                <w:t xml:space="preserve">Creative-Commons-Lizenz CC BY-SA 4.0</w:t>
              </w:r>
            </w:hyperlink>
            <w:r>
              <w:rPr>
                <w:sz w:val="24"/>
              </w:rPr>
            </w:r>
            <w:r/>
          </w:p>
        </w:tc>
      </w:tr>
    </w:tbl>
    <w:p>
      <w:pPr>
        <w:pStyle w:val="640"/>
        <w:contextualSpacing w:val="false"/>
        <w:jc w:val="left"/>
        <w:spacing w:lineRule="auto" w:line="276" w:after="198" w:before="200"/>
        <w:rPr>
          <w:b/>
          <w:sz w:val="34"/>
          <w:highlight w:val="none"/>
        </w:rPr>
        <w:suppressLineNumbers w:val="0"/>
      </w:pPr>
      <w:r>
        <w:rPr>
          <w:b/>
          <w:sz w:val="34"/>
          <w:highlight w:val="none"/>
        </w:rPr>
      </w:r>
      <w:r>
        <w:rPr>
          <w:b/>
          <w:sz w:val="34"/>
          <w:highlight w:val="none"/>
        </w:rPr>
        <w:t xml:space="preserve">Was sind </w:t>
      </w:r>
      <w:r>
        <w:rPr>
          <w:b/>
          <w:sz w:val="34"/>
          <w:highlight w:val="none"/>
          <w:lang w:val="en-GB"/>
        </w:rPr>
        <w:t xml:space="preserve">Open Educational Resources</w:t>
      </w:r>
      <w:r>
        <w:rPr>
          <w:b/>
          <w:sz w:val="34"/>
          <w:highlight w:val="none"/>
        </w:rPr>
        <w:t xml:space="preserve">?</w:t>
      </w:r>
      <w:r>
        <w:rPr>
          <w:b/>
          <w:sz w:val="34"/>
        </w:rPr>
      </w:r>
      <w:r/>
    </w:p>
    <w:p>
      <w:pPr>
        <w:contextualSpacing w:val="false"/>
        <w:jc w:val="left"/>
        <w:spacing w:lineRule="auto" w:line="276" w:after="198" w:before="200"/>
        <w:rPr>
          <w:sz w:val="24"/>
          <w:highlight w:val="none"/>
        </w:rPr>
        <w:suppressLineNumbers w:val="0"/>
      </w:pPr>
      <w:r>
        <w:rPr>
          <w:sz w:val="24"/>
          <w:highlight w:val="none"/>
        </w:rPr>
        <w:t xml:space="preserve">Der Begriff </w:t>
      </w:r>
      <w:r>
        <w:rPr>
          <w:sz w:val="24"/>
          <w:highlight w:val="none"/>
          <w:lang w:val="en-GB"/>
        </w:rPr>
        <w:t xml:space="preserve">Open Educational Resources</w:t>
      </w:r>
      <w:r>
        <w:rPr>
          <w:sz w:val="24"/>
          <w:highlight w:val="none"/>
        </w:rPr>
        <w:t xml:space="preserve"> wurde 2002 erstmals von der </w:t>
      </w:r>
      <w:r>
        <w:rPr>
          <w:sz w:val="24"/>
          <w:highlight w:val="none"/>
        </w:rPr>
        <w:t xml:space="preserve">UNESCO definiert. </w:t>
      </w:r>
      <w:r>
        <w:rPr>
          <w:sz w:val="24"/>
          <w:highlight w:val="none"/>
          <w:lang w:val="en-GB"/>
        </w:rPr>
        <w:t xml:space="preserve">Open Educational Resources</w:t>
      </w:r>
      <w:r>
        <w:rPr>
          <w:sz w:val="24"/>
          <w:highlight w:val="none"/>
        </w:rPr>
        <w:t xml:space="preserve">, kurz </w:t>
      </w:r>
      <w:r>
        <w:rPr>
          <w:sz w:val="24"/>
          <w:highlight w:val="none"/>
          <w:lang w:val="en-GB"/>
        </w:rPr>
        <w:t xml:space="preserve">O E R</w:t>
      </w:r>
      <w:r>
        <w:rPr>
          <w:sz w:val="24"/>
          <w:highlight w:val="none"/>
        </w:rPr>
        <w:t xml:space="preserve">, sind freie </w:t>
      </w:r>
      <w:r>
        <w:rPr>
          <w:sz w:val="24"/>
          <w:highlight w:val="none"/>
        </w:rPr>
        <w:t xml:space="preserve">Bildungsressourcen, die kostenlos genutzt, bearbeitet und weiterverbreitet </w:t>
      </w:r>
      <w:r>
        <w:rPr>
          <w:sz w:val="24"/>
          <w:highlight w:val="none"/>
        </w:rPr>
        <w:t xml:space="preserve">werden dürfen. Da in Österreich jedes Werk per se dem Urheberrecht </w:t>
      </w:r>
      <w:r>
        <w:rPr>
          <w:sz w:val="24"/>
          <w:highlight w:val="none"/>
        </w:rPr>
        <w:t xml:space="preserve">unterliegt, ist beispielsweise eine Bearbeitung und Weiterverbreitung von </w:t>
      </w:r>
      <w:r>
        <w:rPr>
          <w:sz w:val="24"/>
          <w:highlight w:val="none"/>
        </w:rPr>
        <w:t xml:space="preserve">Lehrinhalten durch Dritte untersagt. Dies ist nur mit der expliziten Erlaubnis </w:t>
      </w:r>
      <w:r>
        <w:rPr>
          <w:sz w:val="24"/>
          <w:highlight w:val="none"/>
        </w:rPr>
        <w:t xml:space="preserve">der Urheberin bzw. des Urhebers möglich. </w:t>
      </w:r>
      <w:r>
        <w:rPr>
          <w:sz w:val="24"/>
          <w:highlight w:val="none"/>
          <w:lang w:val="en-GB"/>
        </w:rPr>
        <w:t xml:space="preserve">O E R</w:t>
      </w:r>
      <w:r>
        <w:rPr>
          <w:sz w:val="24"/>
          <w:highlight w:val="none"/>
        </w:rPr>
        <w:t xml:space="preserve"> werden von der Urheberin </w:t>
      </w:r>
      <w:r>
        <w:rPr>
          <w:sz w:val="24"/>
          <w:highlight w:val="none"/>
        </w:rPr>
        <w:t xml:space="preserve">bzw. dem Urheber mit einer entsprechenden Lizenz versehen, welche die </w:t>
      </w:r>
      <w:r>
        <w:rPr>
          <w:sz w:val="24"/>
          <w:highlight w:val="none"/>
        </w:rPr>
        <w:t xml:space="preserve">Nachnutzung ausdrücklich regelt. Ein Lizenzmodell, welches beispielsweise </w:t>
      </w:r>
      <w:r>
        <w:rPr>
          <w:sz w:val="24"/>
          <w:highlight w:val="none"/>
        </w:rPr>
        <w:t xml:space="preserve">in diesem Zusammenhang verwendet wird, sind die sogenannten „</w:t>
      </w:r>
      <w:r>
        <w:rPr>
          <w:sz w:val="24"/>
          <w:highlight w:val="none"/>
          <w:lang w:val="en-GB"/>
        </w:rPr>
        <w:t xml:space="preserve">Creative </w:t>
      </w:r>
      <w:r>
        <w:rPr>
          <w:sz w:val="24"/>
          <w:highlight w:val="none"/>
          <w:lang w:val="en-GB"/>
        </w:rPr>
        <w:t xml:space="preserve">Commons</w:t>
      </w:r>
      <w:r>
        <w:rPr>
          <w:sz w:val="24"/>
          <w:highlight w:val="none"/>
        </w:rPr>
        <w:t xml:space="preserve">“-Lizenzen. Diese stehen nicht im Widerspruch zum Urheberrecht, </w:t>
      </w:r>
      <w:r>
        <w:rPr>
          <w:sz w:val="24"/>
          <w:highlight w:val="none"/>
        </w:rPr>
        <w:t xml:space="preserve">sondern stellen eine Nutzungsregelung dar.</w:t>
      </w:r>
      <w:r>
        <w:rPr>
          <w:sz w:val="24"/>
          <w:highlight w:val="none"/>
        </w:rPr>
      </w:r>
      <w:r/>
    </w:p>
    <w:tbl>
      <w:tblPr>
        <w:tblStyle w:val="670"/>
        <w:tblW w:w="0" w:type="auto"/>
        <w:tblLook w:val="04A0" w:firstRow="1" w:lastRow="0" w:firstColumn="1" w:lastColumn="0" w:noHBand="0" w:noVBand="1"/>
      </w:tblPr>
      <w:tblGrid>
        <w:gridCol w:w="4677"/>
        <w:gridCol w:w="4677"/>
      </w:tblGrid>
      <w:tr>
        <w:trPr/>
        <w:tc>
          <w:tcPr>
            <w:tcW w:w="4677" w:type="dxa"/>
            <w:textDirection w:val="lrTb"/>
            <w:noWrap w:val="false"/>
          </w:tcPr>
          <w:p>
            <w:pPr>
              <w:contextualSpacing w:val="false"/>
              <w:jc w:val="left"/>
              <w:spacing w:lineRule="auto" w:line="276" w:after="198" w:before="200"/>
              <w:rPr>
                <w:sz w:val="24"/>
                <w:highlight w:val="none"/>
              </w:rPr>
              <w:suppressLineNumbers w:val="0"/>
            </w:pPr>
            <w:r>
              <w:rPr>
                <w:sz w:val="24"/>
                <w:highlight w:val="none"/>
              </w:rPr>
            </w:r>
            <w:r>
              <w:rPr>
                <w:rFonts w:ascii="Arial" w:hAnsi="Arial" w:cs="Arial" w:eastAsia="Arial"/>
                <w:color w:val="202124"/>
                <w:sz w:val="24"/>
                <w:highlight w:val="white"/>
              </w:rPr>
              <w:t xml:space="preserve">Ø</w:t>
            </w:r>
            <w:r>
              <w:rPr>
                <w:rFonts w:ascii="Arial" w:hAnsi="Arial" w:cs="Arial" w:eastAsia="Arial"/>
                <w:color w:val="202124"/>
                <w:sz w:val="24"/>
                <w:highlight w:val="none"/>
              </w:rPr>
              <w:t xml:space="preserve"> (</w:t>
            </w:r>
            <w:r>
              <w:rPr>
                <w:rFonts w:ascii="Arial" w:hAnsi="Arial" w:cs="Arial" w:eastAsia="Arial"/>
                <w:color w:val="202124"/>
                <w:sz w:val="24"/>
                <w:highlight w:val="none"/>
              </w:rPr>
              <w:t xml:space="preserve">durchgestrichene Null)</w:t>
            </w:r>
            <w:r>
              <w:rPr>
                <w:sz w:val="24"/>
                <w:highlight w:val="none"/>
              </w:rPr>
            </w:r>
            <w:r/>
          </w:p>
        </w:tc>
        <w:tc>
          <w:tcPr>
            <w:tcW w:w="4677" w:type="dxa"/>
            <w:textDirection w:val="lrTb"/>
            <w:noWrap w:val="false"/>
          </w:tcPr>
          <w:p>
            <w:pPr>
              <w:contextualSpacing w:val="false"/>
              <w:jc w:val="left"/>
              <w:spacing w:lineRule="auto" w:line="276" w:after="198" w:before="200"/>
              <w:rPr>
                <w:sz w:val="24"/>
                <w:highlight w:val="none"/>
              </w:rPr>
              <w:suppressLineNumbers w:val="0"/>
            </w:pPr>
            <w:r>
              <w:rPr>
                <w:sz w:val="24"/>
                <w:highlight w:val="none"/>
              </w:rPr>
            </w:r>
            <w:r>
              <w:rPr>
                <w:sz w:val="24"/>
                <w:highlight w:val="none"/>
              </w:rPr>
              <w:t xml:space="preserve">Inhalte einfach nutzen!</w:t>
            </w:r>
            <w:r>
              <w:rPr>
                <w:sz w:val="24"/>
                <w:highlight w:val="none"/>
              </w:rPr>
            </w:r>
            <w:r/>
          </w:p>
        </w:tc>
      </w:tr>
      <w:tr>
        <w:trPr/>
        <w:tc>
          <w:tcPr>
            <w:tcW w:w="4677" w:type="dxa"/>
            <w:textDirection w:val="lrTb"/>
            <w:noWrap w:val="false"/>
          </w:tcPr>
          <w:p>
            <w:pPr>
              <w:contextualSpacing w:val="false"/>
              <w:jc w:val="left"/>
              <w:spacing w:lineRule="auto" w:line="276" w:after="198" w:before="200"/>
              <w:rPr>
                <w:sz w:val="24"/>
                <w:highlight w:val="none"/>
              </w:rPr>
              <w:suppressLineNumbers w:val="0"/>
            </w:pPr>
            <w:r>
              <w:rPr>
                <w:sz w:val="24"/>
                <w:highlight w:val="none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2785443" cy="974559"/>
                      <wp:effectExtent l="0" t="0" r="0" b="0"/>
                      <wp:docPr id="1" name="" hidden="false" title="Screenshot des Buttons für die CC BY-Lizenz"/>
                      <wp:cNvGraphicFramePr>
                        <a:graphicFrameLocks xmlns:a="http://schemas.openxmlformats.org/drawingml/2006/main" noChangeAspect="true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" name="" hidden="0" title="Screenshot des Buttons für die CC BY-Lizenz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1"/>
                              <a:stretch/>
                            </pic:blipFill>
                            <pic:spPr bwMode="auto">
                              <a:xfrm rot="0" flipH="0" flipV="0">
                                <a:off x="0" y="0"/>
                                <a:ext cx="2785442" cy="974559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mso-wrap-distance-left:0.0pt;mso-wrap-distance-top:0.0pt;mso-wrap-distance-right:0.0pt;mso-wrap-distance-bottom:0.0pt;width:219.3pt;height:76.7pt;rotation:0;" stroked="false">
                      <v:path textboxrect="0,0,0,0"/>
                      <v:imagedata r:id="rId11" o:title=""/>
                    </v:shape>
                  </w:pict>
                </mc:Fallback>
              </mc:AlternateContent>
            </w:r>
            <w:r>
              <w:rPr>
                <w:sz w:val="24"/>
                <w:highlight w:val="none"/>
              </w:rPr>
            </w:r>
            <w:r/>
          </w:p>
        </w:tc>
        <w:tc>
          <w:tcPr>
            <w:tcW w:w="4677" w:type="dxa"/>
            <w:textDirection w:val="lrTb"/>
            <w:noWrap w:val="false"/>
          </w:tcPr>
          <w:p>
            <w:pPr>
              <w:contextualSpacing w:val="false"/>
              <w:jc w:val="left"/>
              <w:spacing w:lineRule="auto" w:line="276" w:after="198" w:before="200"/>
              <w:suppressLineNumbers w:val="0"/>
            </w:pPr>
            <w:r>
              <w:rPr>
                <w:sz w:val="24"/>
                <w:highlight w:val="none"/>
              </w:rPr>
              <w:t xml:space="preserve">Inhalte einfach nutzen - zusätzlich die Urheberin/</w:t>
            </w:r>
            <w:r>
              <w:rPr>
                <w:sz w:val="24"/>
                <w:highlight w:val="none"/>
              </w:rPr>
              <w:t xml:space="preserve">den Urheber und etwaige Änderungen angeben </w:t>
            </w:r>
            <w:r>
              <w:rPr>
                <w:sz w:val="24"/>
                <w:highlight w:val="none"/>
              </w:rPr>
              <w:t xml:space="preserve">sowie auf den Lizenztext verlinken</w:t>
            </w:r>
            <w:r>
              <w:rPr>
                <w:sz w:val="24"/>
                <w:highlight w:val="none"/>
              </w:rPr>
            </w:r>
            <w:r/>
          </w:p>
        </w:tc>
      </w:tr>
      <w:tr>
        <w:trPr/>
        <w:tc>
          <w:tcPr>
            <w:tcW w:w="4677" w:type="dxa"/>
            <w:textDirection w:val="lrTb"/>
            <w:noWrap w:val="false"/>
          </w:tcPr>
          <w:p>
            <w:pPr>
              <w:contextualSpacing w:val="false"/>
              <w:jc w:val="left"/>
              <w:spacing w:lineRule="auto" w:line="276" w:after="198" w:before="200"/>
              <w:rPr>
                <w:sz w:val="24"/>
                <w:highlight w:val="none"/>
              </w:rPr>
              <w:suppressLineNumbers w:val="0"/>
            </w:pPr>
            <w:r>
              <w:rPr>
                <w:sz w:val="24"/>
                <w:highlight w:val="none"/>
              </w:rPr>
            </w:r>
            <w:r>
              <w:rPr>
                <w:sz w:val="24"/>
                <w:highlight w:val="none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2795609" cy="978116"/>
                      <wp:effectExtent l="0" t="0" r="1" b="0"/>
                      <wp:docPr id="2" name="" hidden="false" title="Screenshot des Buttons für die CC BY SA-Lizenz"/>
                      <wp:cNvGraphicFramePr>
                        <a:graphicFrameLocks xmlns:a="http://schemas.openxmlformats.org/drawingml/2006/main" noChangeAspect="true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" name="" hidden="0" title="Screenshot des Buttons für die CC BY SA-Lizenz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2"/>
                              <a:stretch/>
                            </pic:blipFill>
                            <pic:spPr bwMode="auto">
                              <a:xfrm rot="0" flipH="0" flipV="0">
                                <a:off x="0" y="0"/>
                                <a:ext cx="2795609" cy="978116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" o:spid="_x0000_s1" type="#_x0000_t75" style="mso-wrap-distance-left:0.0pt;mso-wrap-distance-top:0.0pt;mso-wrap-distance-right:0.0pt;mso-wrap-distance-bottom:0.0pt;width:220.1pt;height:77.0pt;rotation:0;" stroked="false">
                      <v:path textboxrect="0,0,0,0"/>
                      <v:imagedata r:id="rId12" o:title=""/>
                    </v:shape>
                  </w:pict>
                </mc:Fallback>
              </mc:AlternateContent>
            </w:r>
            <w:r>
              <w:rPr>
                <w:sz w:val="24"/>
                <w:highlight w:val="none"/>
              </w:rPr>
            </w:r>
            <w:r/>
          </w:p>
        </w:tc>
        <w:tc>
          <w:tcPr>
            <w:tcW w:w="4677" w:type="dxa"/>
            <w:textDirection w:val="lrTb"/>
            <w:noWrap w:val="false"/>
          </w:tcPr>
          <w:p>
            <w:pPr>
              <w:contextualSpacing w:val="false"/>
              <w:jc w:val="left"/>
              <w:spacing w:lineRule="auto" w:line="276" w:after="198" w:before="200"/>
              <w:suppressLineNumbers w:val="0"/>
            </w:pPr>
            <w:r>
              <w:rPr>
                <w:sz w:val="24"/>
                <w:highlight w:val="none"/>
              </w:rPr>
              <w:t xml:space="preserve">Inhalte einfach nutzen - hier ist die Angabe </w:t>
            </w:r>
            <w:r>
              <w:rPr>
                <w:sz w:val="24"/>
                <w:highlight w:val="none"/>
              </w:rPr>
              <w:t xml:space="preserve">der Urheberin/des Urhebers sowie etwaige </w:t>
            </w:r>
            <w:r>
              <w:rPr>
                <w:sz w:val="24"/>
                <w:highlight w:val="none"/>
              </w:rPr>
              <w:t xml:space="preserve">Änderungen und ein Link zur jeweiligen Lizenz </w:t>
            </w:r>
            <w:r>
              <w:rPr>
                <w:sz w:val="24"/>
                <w:highlight w:val="none"/>
              </w:rPr>
              <w:t xml:space="preserve">notwendig. Wenn die Inhalte wiederveröffentlicht </w:t>
            </w:r>
            <w:r>
              <w:rPr>
                <w:sz w:val="24"/>
                <w:highlight w:val="none"/>
              </w:rPr>
              <w:t xml:space="preserve">werden, muss dies unter der gleichen Lizenz </w:t>
            </w:r>
            <w:r>
              <w:rPr>
                <w:sz w:val="24"/>
                <w:highlight w:val="none"/>
              </w:rPr>
              <w:t xml:space="preserve">(„</w:t>
            </w:r>
            <w:r>
              <w:rPr>
                <w:sz w:val="24"/>
                <w:highlight w:val="none"/>
                <w:lang w:val="en-GB"/>
              </w:rPr>
              <w:t xml:space="preserve">share alike</w:t>
            </w:r>
            <w:r>
              <w:rPr>
                <w:sz w:val="24"/>
                <w:highlight w:val="none"/>
              </w:rPr>
              <w:t xml:space="preserve">“) passieren</w:t>
            </w:r>
            <w:r>
              <w:rPr>
                <w:sz w:val="24"/>
                <w:highlight w:val="none"/>
              </w:rPr>
            </w:r>
            <w:r/>
          </w:p>
        </w:tc>
      </w:tr>
    </w:tbl>
    <w:p>
      <w:pPr>
        <w:contextualSpacing w:val="false"/>
        <w:jc w:val="left"/>
        <w:spacing w:lineRule="auto" w:line="276" w:after="198" w:before="200"/>
        <w:rPr>
          <w:sz w:val="24"/>
          <w:highlight w:val="none"/>
        </w:rPr>
        <w:suppressLineNumbers w:val="0"/>
      </w:pPr>
      <w:r>
        <w:rPr>
          <w:sz w:val="24"/>
          <w:highlight w:val="none"/>
        </w:rPr>
      </w:r>
      <w:r>
        <w:rPr>
          <w:sz w:val="24"/>
          <w:highlight w:val="none"/>
        </w:rPr>
        <w:t xml:space="preserve">Weitere Informationen zu den Lizenzen finden Sie unter </w:t>
      </w:r>
      <w:hyperlink r:id="rId13" w:tooltip="Creative Commons-Website" w:history="1">
        <w:r>
          <w:rPr>
            <w:rStyle w:val="796"/>
            <w:sz w:val="24"/>
            <w:highlight w:val="none"/>
          </w:rPr>
          <w:t xml:space="preserve">Creative Commons-Website</w:t>
        </w:r>
      </w:hyperlink>
      <w:r>
        <w:rPr>
          <w:sz w:val="24"/>
          <w:highlight w:val="none"/>
        </w:rPr>
      </w:r>
      <w:r/>
    </w:p>
    <w:p>
      <w:pPr>
        <w:pStyle w:val="640"/>
        <w:contextualSpacing w:val="false"/>
        <w:jc w:val="left"/>
        <w:spacing w:lineRule="auto" w:line="276" w:after="198" w:before="200"/>
        <w:rPr>
          <w:b/>
          <w:sz w:val="34"/>
          <w:highlight w:val="none"/>
        </w:rPr>
        <w:suppressLineNumbers w:val="0"/>
      </w:pPr>
      <w:r>
        <w:rPr>
          <w:b/>
          <w:sz w:val="34"/>
          <w:highlight w:val="none"/>
        </w:rPr>
        <w:t xml:space="preserve">Welche Voraussetzungen muss ein Material </w:t>
      </w:r>
      <w:r>
        <w:rPr>
          <w:b/>
          <w:sz w:val="34"/>
          <w:highlight w:val="none"/>
        </w:rPr>
        <w:t xml:space="preserve">erfüllen, um OER zu sein?</w:t>
      </w:r>
      <w:r>
        <w:rPr>
          <w:b/>
          <w:sz w:val="34"/>
          <w:highlight w:val="none"/>
        </w:rPr>
      </w:r>
      <w:r/>
    </w:p>
    <w:p>
      <w:pPr>
        <w:contextualSpacing w:val="false"/>
        <w:jc w:val="left"/>
        <w:spacing w:lineRule="auto" w:line="276" w:after="198" w:before="200"/>
        <w:suppressLineNumbers w:val="0"/>
      </w:pPr>
      <w:r>
        <w:rPr>
          <w:sz w:val="24"/>
          <w:highlight w:val="none"/>
        </w:rPr>
        <w:t xml:space="preserve">2014 definierte David Wiley </w:t>
      </w:r>
      <w:r>
        <w:rPr>
          <w:sz w:val="24"/>
          <w:highlight w:val="none"/>
          <w:lang w:val="en-GB"/>
        </w:rPr>
        <w:t xml:space="preserve">O E R</w:t>
      </w:r>
      <w:r>
        <w:rPr>
          <w:sz w:val="24"/>
          <w:highlight w:val="none"/>
        </w:rPr>
        <w:t xml:space="preserve">-Kriterien - die sogenannten „5Rs“ der </w:t>
      </w:r>
      <w:r>
        <w:rPr>
          <w:sz w:val="24"/>
          <w:highlight w:val="none"/>
        </w:rPr>
        <w:t xml:space="preserve">Offenheit (</w:t>
      </w:r>
      <w:r>
        <w:rPr>
          <w:sz w:val="24"/>
          <w:highlight w:val="none"/>
          <w:lang w:val="en-GB"/>
        </w:rPr>
        <w:t xml:space="preserve">Retain, Reuse, Revise, Remix und Redistribute</w:t>
      </w:r>
      <w:r>
        <w:rPr>
          <w:sz w:val="24"/>
          <w:highlight w:val="none"/>
        </w:rPr>
        <w:t xml:space="preserve">) (</w:t>
      </w:r>
      <w:r>
        <w:rPr>
          <w:sz w:val="24"/>
          <w:highlight w:val="none"/>
        </w:rPr>
        <w:t xml:space="preserve">Wiley, 2019)</w:t>
      </w:r>
      <w:r>
        <w:rPr>
          <w:sz w:val="24"/>
          <w:highlight w:val="none"/>
        </w:rPr>
        <w:t xml:space="preserve">. Diese wurden </w:t>
      </w:r>
      <w:r>
        <w:rPr>
          <w:sz w:val="24"/>
          <w:highlight w:val="none"/>
        </w:rPr>
        <w:t xml:space="preserve">2015 als die „5Vs“ ins Deutsche übersetzt</w:t>
      </w:r>
      <w:r>
        <w:rPr>
          <w:sz w:val="24"/>
          <w:highlight w:val="none"/>
        </w:rPr>
        <w:t xml:space="preserve"> (</w:t>
      </w:r>
      <w:r>
        <w:rPr>
          <w:sz w:val="24"/>
          <w:highlight w:val="none"/>
        </w:rPr>
        <w:t xml:space="preserve">Muuß-Merholz, 2018). </w:t>
      </w:r>
      <w:r>
        <w:rPr>
          <w:sz w:val="24"/>
          <w:highlight w:val="none"/>
        </w:rPr>
      </w:r>
      <w:r/>
    </w:p>
    <w:p>
      <w:pPr>
        <w:pStyle w:val="642"/>
        <w:contextualSpacing w:val="false"/>
        <w:jc w:val="left"/>
        <w:spacing w:lineRule="auto" w:line="276" w:after="198" w:before="200"/>
        <w:rPr>
          <w:b/>
          <w:sz w:val="30"/>
          <w:highlight w:val="none"/>
        </w:rPr>
        <w:suppressLineNumbers w:val="0"/>
      </w:pPr>
      <w:r>
        <w:rPr>
          <w:b/>
          <w:sz w:val="30"/>
          <w:highlight w:val="none"/>
        </w:rPr>
        <w:t xml:space="preserve">Verwahren/Vervielfältigen </w:t>
      </w:r>
      <w:r>
        <w:rPr>
          <w:b/>
          <w:sz w:val="30"/>
        </w:rPr>
      </w:r>
      <w:r/>
    </w:p>
    <w:p>
      <w:pPr>
        <w:contextualSpacing w:val="false"/>
        <w:jc w:val="left"/>
        <w:spacing w:lineRule="auto" w:line="276" w:after="198" w:before="200"/>
        <w:rPr>
          <w:sz w:val="24"/>
          <w:highlight w:val="none"/>
        </w:rPr>
        <w:suppressLineNumbers w:val="0"/>
      </w:pPr>
      <w:r>
        <w:rPr>
          <w:sz w:val="24"/>
          <w:highlight w:val="none"/>
        </w:rPr>
      </w:r>
      <w:r>
        <w:rPr>
          <w:sz w:val="24"/>
          <w:highlight w:val="none"/>
        </w:rPr>
        <w:t xml:space="preserve">Das Recht, Kopien des Inhalts zu erstellen, </w:t>
      </w:r>
      <w:r>
        <w:rPr>
          <w:sz w:val="24"/>
          <w:highlight w:val="none"/>
        </w:rPr>
        <w:t xml:space="preserve">diesen zu besitzen und darüber zu bestimmen</w:t>
      </w:r>
      <w:r>
        <w:rPr>
          <w:sz w:val="24"/>
          <w:highlight w:val="none"/>
        </w:rPr>
      </w:r>
      <w:r/>
    </w:p>
    <w:p>
      <w:pPr>
        <w:pStyle w:val="642"/>
        <w:contextualSpacing w:val="false"/>
        <w:jc w:val="left"/>
        <w:spacing w:lineRule="auto" w:line="276" w:after="198" w:before="200"/>
        <w:rPr>
          <w:b/>
          <w:sz w:val="30"/>
          <w:highlight w:val="none"/>
        </w:rPr>
        <w:suppressLineNumbers w:val="0"/>
      </w:pPr>
      <w:r>
        <w:rPr>
          <w:b/>
          <w:sz w:val="30"/>
          <w:highlight w:val="none"/>
        </w:rPr>
        <w:t xml:space="preserve">Verwenden</w:t>
      </w:r>
      <w:r>
        <w:rPr>
          <w:b/>
          <w:sz w:val="30"/>
          <w:highlight w:val="none"/>
        </w:rPr>
      </w:r>
      <w:r/>
    </w:p>
    <w:p>
      <w:pPr>
        <w:contextualSpacing w:val="false"/>
        <w:jc w:val="left"/>
        <w:spacing w:lineRule="auto" w:line="276" w:after="198" w:before="200"/>
        <w:rPr>
          <w:sz w:val="24"/>
          <w:highlight w:val="none"/>
        </w:rPr>
        <w:suppressLineNumbers w:val="0"/>
      </w:pPr>
      <w:r>
        <w:rPr>
          <w:sz w:val="24"/>
          <w:highlight w:val="none"/>
        </w:rPr>
        <w:t xml:space="preserve">Das Recht, den Inhalt unterschiedlich einzusetzen </w:t>
      </w:r>
      <w:r>
        <w:rPr>
          <w:sz w:val="24"/>
          <w:highlight w:val="none"/>
        </w:rPr>
        <w:t xml:space="preserve">(z. B. im Klassenraum, in einer Lerngruppe, auf einer </w:t>
      </w:r>
      <w:r>
        <w:rPr>
          <w:sz w:val="24"/>
          <w:highlight w:val="none"/>
        </w:rPr>
        <w:t xml:space="preserve">Website, in einem Video) </w:t>
      </w:r>
      <w:r/>
    </w:p>
    <w:p>
      <w:pPr>
        <w:pStyle w:val="642"/>
        <w:contextualSpacing w:val="false"/>
        <w:jc w:val="left"/>
        <w:spacing w:lineRule="auto" w:line="276" w:after="198" w:before="200"/>
        <w:rPr>
          <w:b/>
          <w:sz w:val="30"/>
          <w:highlight w:val="none"/>
        </w:rPr>
        <w:suppressLineNumbers w:val="0"/>
      </w:pPr>
      <w:r>
        <w:rPr>
          <w:b/>
          <w:sz w:val="30"/>
          <w:highlight w:val="none"/>
        </w:rPr>
      </w:r>
      <w:r>
        <w:rPr>
          <w:b/>
          <w:sz w:val="30"/>
          <w:highlight w:val="none"/>
        </w:rPr>
        <w:t xml:space="preserve">Verarbeiten</w:t>
      </w:r>
      <w:r>
        <w:rPr>
          <w:b/>
          <w:sz w:val="30"/>
          <w:highlight w:val="none"/>
        </w:rPr>
      </w:r>
      <w:r/>
    </w:p>
    <w:p>
      <w:pPr>
        <w:contextualSpacing w:val="false"/>
        <w:jc w:val="left"/>
        <w:spacing w:lineRule="auto" w:line="276" w:after="198" w:before="200"/>
        <w:suppressLineNumbers w:val="0"/>
      </w:pPr>
      <w:r>
        <w:rPr>
          <w:sz w:val="24"/>
          <w:highlight w:val="none"/>
        </w:rPr>
        <w:t xml:space="preserve">Das Recht, den Inhalt zu bearbeiten bzw. anzupassen </w:t>
      </w:r>
      <w:r>
        <w:rPr>
          <w:sz w:val="24"/>
          <w:highlight w:val="none"/>
        </w:rPr>
        <w:t xml:space="preserve">und somit zu verändern oder umzugestalten (z. B. </w:t>
      </w:r>
      <w:r>
        <w:rPr>
          <w:sz w:val="24"/>
          <w:highlight w:val="none"/>
        </w:rPr>
        <w:t xml:space="preserve">einen Inhalt in eine andere Sprache zu übersetzen)</w:t>
      </w:r>
      <w:r/>
    </w:p>
    <w:p>
      <w:pPr>
        <w:pStyle w:val="642"/>
        <w:contextualSpacing w:val="false"/>
        <w:jc w:val="left"/>
        <w:spacing w:lineRule="auto" w:line="276" w:after="198" w:before="200"/>
        <w:rPr>
          <w:b/>
          <w:sz w:val="30"/>
          <w:highlight w:val="none"/>
        </w:rPr>
        <w:suppressLineNumbers w:val="0"/>
      </w:pPr>
      <w:r>
        <w:rPr>
          <w:b/>
          <w:sz w:val="30"/>
          <w:highlight w:val="none"/>
        </w:rPr>
        <w:t xml:space="preserve">Vermischen</w:t>
      </w:r>
      <w:r>
        <w:rPr>
          <w:b/>
          <w:sz w:val="30"/>
          <w:highlight w:val="none"/>
        </w:rPr>
      </w:r>
      <w:r/>
    </w:p>
    <w:p>
      <w:pPr>
        <w:contextualSpacing w:val="false"/>
        <w:jc w:val="left"/>
        <w:spacing w:lineRule="auto" w:line="276" w:after="198" w:before="200"/>
        <w:suppressLineNumbers w:val="0"/>
      </w:pPr>
      <w:r>
        <w:rPr>
          <w:sz w:val="24"/>
          <w:highlight w:val="none"/>
        </w:rPr>
        <w:t xml:space="preserve">Das Recht, einen Inhalt im Original oder in einer </w:t>
      </w:r>
      <w:r>
        <w:rPr>
          <w:sz w:val="24"/>
          <w:highlight w:val="none"/>
        </w:rPr>
        <w:t xml:space="preserve">bearbeiteten Form mit anderen offenen Inhalten zu </w:t>
      </w:r>
      <w:r>
        <w:rPr>
          <w:sz w:val="24"/>
          <w:highlight w:val="none"/>
        </w:rPr>
        <w:t xml:space="preserve">kombinieren (z. B. beim Einbauen von Bildern und </w:t>
      </w:r>
      <w:r>
        <w:rPr>
          <w:sz w:val="24"/>
          <w:highlight w:val="none"/>
        </w:rPr>
        <w:t xml:space="preserve">Musik in ein Video)</w:t>
      </w:r>
      <w:r/>
    </w:p>
    <w:p>
      <w:pPr>
        <w:pStyle w:val="642"/>
        <w:contextualSpacing w:val="false"/>
        <w:jc w:val="left"/>
        <w:spacing w:lineRule="auto" w:line="276" w:after="198" w:before="200"/>
        <w:rPr>
          <w:b/>
          <w:sz w:val="30"/>
          <w:highlight w:val="none"/>
        </w:rPr>
        <w:suppressLineNumbers w:val="0"/>
      </w:pPr>
      <w:r>
        <w:rPr>
          <w:b/>
          <w:sz w:val="30"/>
          <w:highlight w:val="none"/>
        </w:rPr>
        <w:t xml:space="preserve">Verbreiten</w:t>
      </w:r>
      <w:r>
        <w:rPr>
          <w:b/>
          <w:sz w:val="30"/>
          <w:highlight w:val="none"/>
        </w:rPr>
      </w:r>
      <w:r/>
    </w:p>
    <w:p>
      <w:pPr>
        <w:contextualSpacing w:val="false"/>
        <w:jc w:val="left"/>
        <w:spacing w:lineRule="auto" w:line="276" w:after="198" w:before="200"/>
        <w:suppressLineNumbers w:val="0"/>
      </w:pPr>
      <w:r>
        <w:rPr>
          <w:sz w:val="24"/>
          <w:highlight w:val="none"/>
        </w:rPr>
        <w:t xml:space="preserve">Das Recht, Kopien eines Inhalts im Original oder mit </w:t>
      </w:r>
      <w:r>
        <w:rPr>
          <w:sz w:val="24"/>
          <w:highlight w:val="none"/>
        </w:rPr>
        <w:t xml:space="preserve">eigenen Überarbeitungen mit anderen zu teilen</w:t>
      </w:r>
      <w:r>
        <w:rPr>
          <w:sz w:val="24"/>
          <w:highlight w:val="none"/>
        </w:rPr>
      </w:r>
      <w:r/>
    </w:p>
    <w:p>
      <w:pPr>
        <w:pStyle w:val="640"/>
        <w:contextualSpacing w:val="false"/>
        <w:jc w:val="left"/>
        <w:spacing w:lineRule="auto" w:line="276" w:after="198" w:before="200"/>
        <w:rPr>
          <w:b/>
          <w:sz w:val="34"/>
          <w:highlight w:val="none"/>
        </w:rPr>
        <w:suppressLineNumbers w:val="0"/>
      </w:pPr>
      <w:r>
        <w:rPr>
          <w:b/>
          <w:sz w:val="34"/>
          <w:highlight w:val="none"/>
        </w:rPr>
        <w:t xml:space="preserve">Welche Inhalte können freie Bildungsressourcen </w:t>
      </w:r>
      <w:r>
        <w:rPr>
          <w:b/>
          <w:sz w:val="34"/>
          <w:highlight w:val="none"/>
        </w:rPr>
        <w:t xml:space="preserve">sein? Welche Form können freie Bildungsressourcen </w:t>
      </w:r>
      <w:r>
        <w:rPr>
          <w:b/>
          <w:sz w:val="34"/>
          <w:highlight w:val="none"/>
        </w:rPr>
        <w:t xml:space="preserve">haben?</w:t>
      </w:r>
      <w:r>
        <w:rPr>
          <w:b/>
          <w:sz w:val="34"/>
          <w:highlight w:val="none"/>
        </w:rPr>
      </w:r>
      <w:r/>
    </w:p>
    <w:p>
      <w:pPr>
        <w:contextualSpacing w:val="false"/>
        <w:jc w:val="left"/>
        <w:spacing w:lineRule="auto" w:line="276" w:after="198" w:before="200"/>
        <w:suppressLineNumbers w:val="0"/>
      </w:pPr>
      <w:r>
        <w:rPr>
          <w:sz w:val="24"/>
          <w:highlight w:val="none"/>
        </w:rPr>
      </w:r>
      <w:r>
        <w:rPr>
          <w:sz w:val="24"/>
          <w:highlight w:val="none"/>
          <w:lang w:val="en-GB"/>
        </w:rPr>
        <w:t xml:space="preserve">O E R </w:t>
      </w:r>
      <w:r>
        <w:rPr>
          <w:sz w:val="24"/>
          <w:highlight w:val="none"/>
        </w:rPr>
        <w:t xml:space="preserve">können in verschiedenster Form vorliegen: als Bild, Text aber auch </w:t>
      </w:r>
      <w:r>
        <w:rPr>
          <w:sz w:val="24"/>
          <w:highlight w:val="none"/>
        </w:rPr>
        <w:t xml:space="preserve">als Video oder gesamte Kurseinheit. Selbstverständlich können nicht nur </w:t>
      </w:r>
      <w:r>
        <w:rPr>
          <w:sz w:val="24"/>
          <w:highlight w:val="none"/>
        </w:rPr>
        <w:t xml:space="preserve">digitale, sondern auch analoge Inhalte </w:t>
      </w:r>
      <w:r>
        <w:rPr>
          <w:sz w:val="24"/>
          <w:highlight w:val="none"/>
          <w:lang w:val="en-GB"/>
        </w:rPr>
        <w:t xml:space="preserve">O E R</w:t>
      </w:r>
      <w:r>
        <w:rPr>
          <w:sz w:val="24"/>
          <w:highlight w:val="none"/>
        </w:rPr>
        <w:t xml:space="preserve"> sein, beispielsweise kann auch ein </w:t>
      </w:r>
      <w:r>
        <w:rPr>
          <w:sz w:val="24"/>
          <w:highlight w:val="none"/>
        </w:rPr>
        <w:t xml:space="preserve">gedrucktes Buch mit einer offenen Lizenz versehen werden.</w:t>
      </w:r>
      <w:r>
        <w:rPr>
          <w:sz w:val="24"/>
          <w:highlight w:val="none"/>
        </w:rPr>
      </w:r>
      <w:r/>
    </w:p>
    <w:p>
      <w:pPr>
        <w:pStyle w:val="640"/>
        <w:contextualSpacing w:val="false"/>
        <w:jc w:val="left"/>
        <w:spacing w:lineRule="auto" w:line="276" w:after="198" w:before="200"/>
        <w:rPr>
          <w:b/>
          <w:sz w:val="34"/>
          <w:highlight w:val="none"/>
        </w:rPr>
        <w:suppressLineNumbers w:val="0"/>
      </w:pPr>
      <w:r>
        <w:rPr>
          <w:b/>
          <w:sz w:val="34"/>
          <w:highlight w:val="none"/>
        </w:rPr>
        <w:t xml:space="preserve">Was sind die Vorteile von </w:t>
      </w:r>
      <w:r>
        <w:rPr>
          <w:b/>
          <w:sz w:val="34"/>
          <w:highlight w:val="none"/>
          <w:lang w:val="en-GB"/>
        </w:rPr>
        <w:t xml:space="preserve">O E R</w:t>
      </w:r>
      <w:r>
        <w:rPr>
          <w:b/>
          <w:sz w:val="34"/>
          <w:highlight w:val="none"/>
        </w:rPr>
        <w:t xml:space="preserve">? Warum sollte ich </w:t>
      </w:r>
      <w:r>
        <w:rPr>
          <w:b/>
          <w:sz w:val="34"/>
          <w:highlight w:val="none"/>
          <w:lang w:val="en-GB"/>
        </w:rPr>
        <w:t xml:space="preserve">O E R </w:t>
      </w:r>
      <w:r>
        <w:rPr>
          <w:b/>
          <w:sz w:val="34"/>
          <w:highlight w:val="none"/>
        </w:rPr>
        <w:t xml:space="preserve">erstellen und verwenden?</w:t>
      </w:r>
      <w:r>
        <w:rPr>
          <w:b/>
          <w:sz w:val="34"/>
          <w:highlight w:val="none"/>
        </w:rPr>
      </w:r>
      <w:r/>
    </w:p>
    <w:p>
      <w:pPr>
        <w:pStyle w:val="642"/>
        <w:contextualSpacing w:val="false"/>
        <w:jc w:val="left"/>
        <w:spacing w:lineRule="auto" w:line="276" w:after="198" w:before="200"/>
        <w:rPr>
          <w:b/>
          <w:sz w:val="30"/>
          <w:highlight w:val="none"/>
        </w:rPr>
        <w:suppressLineNumbers w:val="0"/>
      </w:pPr>
      <w:r>
        <w:rPr>
          <w:b/>
          <w:sz w:val="30"/>
          <w:highlight w:val="none"/>
        </w:rPr>
        <w:t xml:space="preserve">Hilfestellung bei urheberrechtlichen Fragen</w:t>
      </w:r>
      <w:r>
        <w:rPr>
          <w:b/>
          <w:sz w:val="30"/>
          <w:highlight w:val="none"/>
        </w:rPr>
      </w:r>
      <w:r/>
    </w:p>
    <w:p>
      <w:pPr>
        <w:contextualSpacing w:val="false"/>
        <w:jc w:val="left"/>
        <w:spacing w:lineRule="auto" w:line="276" w:after="198" w:before="200"/>
        <w:rPr>
          <w:sz w:val="24"/>
          <w:highlight w:val="none"/>
        </w:rPr>
        <w:suppressLineNumbers w:val="0"/>
      </w:pPr>
      <w:r>
        <w:rPr>
          <w:sz w:val="24"/>
          <w:highlight w:val="none"/>
        </w:rPr>
      </w:r>
      <w:r>
        <w:rPr>
          <w:sz w:val="24"/>
          <w:highlight w:val="none"/>
          <w:lang w:val="en-GB"/>
        </w:rPr>
        <w:t xml:space="preserve">O E R </w:t>
      </w:r>
      <w:r>
        <w:rPr>
          <w:sz w:val="24"/>
          <w:highlight w:val="none"/>
        </w:rPr>
        <w:t xml:space="preserve">ermöglicht es Lehr- und Lerninhalte zusätzlich zur bestehenden „freien </w:t>
      </w:r>
      <w:r>
        <w:rPr>
          <w:sz w:val="24"/>
          <w:highlight w:val="none"/>
        </w:rPr>
        <w:t xml:space="preserve">Werknutzung“ (</w:t>
      </w:r>
      <w:r>
        <w:rPr>
          <w:sz w:val="24"/>
          <w:highlight w:val="none"/>
        </w:rPr>
        <w:t xml:space="preserve">österreichisches Urheberrechtsgesetz 42ff.</w:t>
      </w:r>
      <w:r>
        <w:rPr>
          <w:sz w:val="24"/>
          <w:highlight w:val="none"/>
        </w:rPr>
        <w:t xml:space="preserve">) nutzbar zu machen. Einwandfrei lizensierte </w:t>
      </w:r>
      <w:r>
        <w:rPr>
          <w:sz w:val="24"/>
          <w:highlight w:val="none"/>
          <w:lang w:val="en-GB"/>
        </w:rPr>
        <w:t xml:space="preserve">O E R</w:t>
      </w:r>
      <w:r>
        <w:rPr>
          <w:sz w:val="24"/>
          <w:highlight w:val="none"/>
        </w:rPr>
        <w:t xml:space="preserve">-Inhalte ermöglichen es auf „einen Blick“ zu erkennen, wie diese Inhalte </w:t>
      </w:r>
      <w:r>
        <w:rPr>
          <w:sz w:val="24"/>
          <w:highlight w:val="none"/>
        </w:rPr>
        <w:t xml:space="preserve">von Dritten nachgenutzt werden dürfen, und erlauben ggf. eine Veränderung </w:t>
      </w:r>
      <w:r>
        <w:rPr>
          <w:sz w:val="24"/>
          <w:highlight w:val="none"/>
        </w:rPr>
        <w:t xml:space="preserve">(z. B. Anpassung eines Textes) und/oder Weiterbearbeitung (z. B. für die </w:t>
      </w:r>
      <w:r>
        <w:rPr>
          <w:sz w:val="24"/>
          <w:highlight w:val="none"/>
        </w:rPr>
        <w:t xml:space="preserve">gemeinsame Erstellung einer Lernunterlage) der Inhalte.</w:t>
      </w:r>
      <w:r>
        <w:rPr>
          <w:sz w:val="24"/>
          <w:highlight w:val="none"/>
        </w:rPr>
      </w:r>
      <w:r/>
    </w:p>
    <w:p>
      <w:pPr>
        <w:pStyle w:val="642"/>
        <w:contextualSpacing w:val="false"/>
        <w:jc w:val="left"/>
        <w:spacing w:lineRule="auto" w:line="276" w:after="198" w:before="200"/>
        <w:rPr>
          <w:b/>
          <w:sz w:val="30"/>
          <w:highlight w:val="none"/>
        </w:rPr>
        <w:suppressLineNumbers w:val="0"/>
      </w:pPr>
      <w:r>
        <w:rPr>
          <w:b/>
          <w:sz w:val="30"/>
          <w:highlight w:val="none"/>
        </w:rPr>
        <w:t xml:space="preserve">Freier und inklusiver Zugang zur freien Bildung</w:t>
      </w:r>
      <w:r>
        <w:rPr>
          <w:b/>
          <w:sz w:val="30"/>
          <w:highlight w:val="none"/>
        </w:rPr>
      </w:r>
      <w:r/>
    </w:p>
    <w:p>
      <w:pPr>
        <w:contextualSpacing w:val="false"/>
        <w:jc w:val="left"/>
        <w:spacing w:lineRule="auto" w:line="276" w:after="198" w:before="200"/>
        <w:rPr>
          <w:sz w:val="24"/>
          <w:highlight w:val="none"/>
        </w:rPr>
        <w:suppressLineNumbers w:val="0"/>
      </w:pPr>
      <w:r>
        <w:rPr>
          <w:sz w:val="24"/>
          <w:highlight w:val="none"/>
        </w:rPr>
        <w:t xml:space="preserve">Dies geht mit dem Gedanken einher, dass die Universität grundsätzlich </w:t>
      </w:r>
      <w:r>
        <w:rPr>
          <w:sz w:val="24"/>
          <w:highlight w:val="none"/>
        </w:rPr>
        <w:t xml:space="preserve">Bildung zugänglich machen sollte. Durch offen lizensierte Bildungsinhalte</w:t>
      </w:r>
      <w:r>
        <w:rPr>
          <w:sz w:val="24"/>
          <w:highlight w:val="none"/>
        </w:rPr>
        <w:t xml:space="preserve"> </w:t>
      </w:r>
      <w:r>
        <w:rPr>
          <w:sz w:val="24"/>
          <w:highlight w:val="none"/>
        </w:rPr>
        <w:t xml:space="preserve">kann eine deutlich größere Gruppe von Personen durch deren </w:t>
      </w:r>
      <w:r>
        <w:rPr>
          <w:sz w:val="24"/>
          <w:highlight w:val="none"/>
        </w:rPr>
        <w:t xml:space="preserve">Nutzung profitieren. Darüber hinaus sind freie Bildungsmaterialien </w:t>
      </w:r>
      <w:r>
        <w:rPr>
          <w:sz w:val="24"/>
          <w:highlight w:val="none"/>
        </w:rPr>
        <w:t xml:space="preserve">zwar nicht direkt barrierefrei, aber durch die freie Lizenzierung ist es </w:t>
      </w:r>
      <w:r>
        <w:rPr>
          <w:sz w:val="24"/>
          <w:highlight w:val="none"/>
        </w:rPr>
        <w:t xml:space="preserve">jedoch möglich bestehende Materialien einfach zu adaptieren und in </w:t>
      </w:r>
      <w:r>
        <w:rPr>
          <w:sz w:val="24"/>
          <w:highlight w:val="none"/>
        </w:rPr>
        <w:t xml:space="preserve">die benötigte Form zu bringen, um Barrierefreiheit weitestgehend zu </w:t>
      </w:r>
      <w:r>
        <w:rPr>
          <w:sz w:val="24"/>
          <w:highlight w:val="none"/>
        </w:rPr>
        <w:t xml:space="preserve">ermöglichen.</w:t>
      </w:r>
      <w:r/>
    </w:p>
    <w:p>
      <w:pPr>
        <w:pStyle w:val="642"/>
        <w:contextualSpacing w:val="false"/>
        <w:jc w:val="left"/>
        <w:spacing w:lineRule="auto" w:line="276" w:after="198" w:before="200"/>
        <w:rPr>
          <w:b/>
          <w:sz w:val="30"/>
          <w:highlight w:val="none"/>
        </w:rPr>
        <w:suppressLineNumbers w:val="0"/>
      </w:pPr>
      <w:r>
        <w:rPr>
          <w:b/>
          <w:sz w:val="30"/>
          <w:highlight w:val="none"/>
        </w:rPr>
        <w:t xml:space="preserve">Qualität in der Lehre steigern</w:t>
      </w:r>
      <w:r>
        <w:rPr>
          <w:b/>
          <w:sz w:val="30"/>
          <w:highlight w:val="none"/>
        </w:rPr>
      </w:r>
      <w:r/>
    </w:p>
    <w:p>
      <w:pPr>
        <w:contextualSpacing w:val="false"/>
        <w:jc w:val="left"/>
        <w:spacing w:lineRule="auto" w:line="276" w:after="198" w:before="200"/>
        <w:rPr>
          <w:sz w:val="24"/>
          <w:highlight w:val="none"/>
        </w:rPr>
        <w:suppressLineNumbers w:val="0"/>
      </w:pPr>
      <w:r>
        <w:rPr>
          <w:sz w:val="24"/>
          <w:highlight w:val="none"/>
        </w:rPr>
        <w:t xml:space="preserve">Da freie Bildungsressourcen einer breiten Öffentlichkeit zur Verfügung </w:t>
      </w:r>
      <w:r>
        <w:rPr>
          <w:sz w:val="24"/>
          <w:highlight w:val="none"/>
        </w:rPr>
        <w:t xml:space="preserve">gestellt und weiterbearbeitet werden können, ist es möglich </w:t>
      </w:r>
      <w:r>
        <w:rPr>
          <w:sz w:val="24"/>
          <w:highlight w:val="none"/>
        </w:rPr>
        <w:t xml:space="preserve">Aktualisierungen und Verbesserungen schneller durchzuführen. Man </w:t>
      </w:r>
      <w:r>
        <w:rPr>
          <w:sz w:val="24"/>
          <w:highlight w:val="none"/>
        </w:rPr>
        <w:t xml:space="preserve">muss also bei der Erstellung von neuen Bildungsmaterialien nicht </w:t>
      </w:r>
      <w:r>
        <w:rPr>
          <w:sz w:val="24"/>
          <w:highlight w:val="none"/>
        </w:rPr>
        <w:t xml:space="preserve">immer wieder das Rad neu erfinden, sondern kann auf Expertisen </w:t>
      </w:r>
      <w:r>
        <w:rPr>
          <w:sz w:val="24"/>
          <w:highlight w:val="none"/>
        </w:rPr>
        <w:t xml:space="preserve">der Kolleginnen und Kollegen aufbauen, diese Inhalte erweitern </w:t>
      </w:r>
      <w:r>
        <w:rPr>
          <w:sz w:val="24"/>
          <w:highlight w:val="none"/>
        </w:rPr>
        <w:t xml:space="preserve">und an die eigenen Bedürfnisse anpassen. Durch eine oftmalige </w:t>
      </w:r>
      <w:r>
        <w:rPr>
          <w:sz w:val="24"/>
          <w:highlight w:val="none"/>
        </w:rPr>
        <w:t xml:space="preserve">Wiederverwendung darf auch von einem qualitativ hochwertigen </w:t>
      </w:r>
      <w:r>
        <w:rPr>
          <w:sz w:val="24"/>
          <w:highlight w:val="none"/>
        </w:rPr>
        <w:t xml:space="preserve">Lehr- und Lernmaterial ausgegangen werden, da sich vermeintliche </w:t>
      </w:r>
      <w:r>
        <w:rPr>
          <w:sz w:val="24"/>
          <w:highlight w:val="none"/>
        </w:rPr>
        <w:t xml:space="preserve">Schwachstellen im Kollektiv leichter beheben lassen.</w:t>
      </w:r>
      <w:r>
        <w:rPr>
          <w:sz w:val="24"/>
          <w:highlight w:val="none"/>
        </w:rPr>
      </w:r>
      <w:r/>
    </w:p>
    <w:p>
      <w:pPr>
        <w:pStyle w:val="642"/>
        <w:contextualSpacing w:val="false"/>
        <w:jc w:val="left"/>
        <w:spacing w:lineRule="auto" w:line="276" w:after="198" w:before="200"/>
        <w:rPr>
          <w:b/>
          <w:sz w:val="30"/>
          <w:highlight w:val="none"/>
        </w:rPr>
        <w:suppressLineNumbers w:val="0"/>
      </w:pPr>
      <w:r>
        <w:rPr>
          <w:b/>
          <w:sz w:val="30"/>
          <w:highlight w:val="none"/>
        </w:rPr>
        <w:t xml:space="preserve">Erweiterung der didaktischen Möglichkeiten</w:t>
      </w:r>
      <w:r>
        <w:rPr>
          <w:b/>
          <w:sz w:val="30"/>
          <w:highlight w:val="none"/>
        </w:rPr>
      </w:r>
      <w:r/>
    </w:p>
    <w:p>
      <w:pPr>
        <w:contextualSpacing w:val="false"/>
        <w:jc w:val="left"/>
        <w:spacing w:lineRule="auto" w:line="276" w:after="198" w:before="200"/>
        <w:rPr>
          <w:sz w:val="24"/>
          <w:highlight w:val="none"/>
        </w:rPr>
        <w:suppressLineNumbers w:val="0"/>
      </w:pPr>
      <w:r>
        <w:rPr>
          <w:sz w:val="24"/>
          <w:highlight w:val="none"/>
        </w:rPr>
        <w:t xml:space="preserve">Durch die Modifikation von </w:t>
      </w:r>
      <w:r>
        <w:rPr>
          <w:sz w:val="24"/>
          <w:highlight w:val="none"/>
          <w:lang w:val="en-GB"/>
        </w:rPr>
        <w:t xml:space="preserve">O E R </w:t>
      </w:r>
      <w:r>
        <w:rPr>
          <w:sz w:val="24"/>
          <w:highlight w:val="none"/>
        </w:rPr>
        <w:t xml:space="preserve">können die Inhalte flexibel abgeändert </w:t>
      </w:r>
      <w:r>
        <w:rPr>
          <w:sz w:val="24"/>
          <w:highlight w:val="none"/>
        </w:rPr>
        <w:t xml:space="preserve">werden und so in verschiedensten Bildungskontexten zum Einsatz </w:t>
      </w:r>
      <w:r>
        <w:rPr>
          <w:sz w:val="24"/>
          <w:highlight w:val="none"/>
        </w:rPr>
        <w:t xml:space="preserve">kommen. Auch Studierende haben die Möglichkeit die Lernunterlagen </w:t>
      </w:r>
      <w:r>
        <w:rPr>
          <w:sz w:val="24"/>
          <w:highlight w:val="none"/>
        </w:rPr>
        <w:t xml:space="preserve">flexibel mitzugestalten. Dadurch eröffnen sich neue Optionen für </w:t>
      </w:r>
      <w:r>
        <w:rPr>
          <w:sz w:val="24"/>
          <w:highlight w:val="none"/>
        </w:rPr>
        <w:t xml:space="preserve">den Einsatz im Unterricht. Dieser kann auf offenen Inhalten aufbauen </w:t>
      </w:r>
      <w:r>
        <w:rPr>
          <w:sz w:val="24"/>
          <w:highlight w:val="none"/>
        </w:rPr>
        <w:t xml:space="preserve">und damit vielfältiger gestaltet werden. Darüber hinaus ist ein </w:t>
      </w:r>
      <w:r>
        <w:rPr>
          <w:sz w:val="24"/>
          <w:highlight w:val="none"/>
        </w:rPr>
        <w:t xml:space="preserve">studierendenzentrierterer Unterricht möglich.</w:t>
      </w:r>
      <w:r>
        <w:rPr>
          <w:sz w:val="24"/>
          <w:highlight w:val="none"/>
        </w:rPr>
      </w:r>
      <w:r/>
    </w:p>
    <w:p>
      <w:pPr>
        <w:pStyle w:val="642"/>
        <w:contextualSpacing w:val="false"/>
        <w:jc w:val="left"/>
        <w:spacing w:lineRule="auto" w:line="276" w:after="198" w:before="200"/>
        <w:rPr>
          <w:b/>
          <w:sz w:val="30"/>
          <w:highlight w:val="none"/>
        </w:rPr>
        <w:suppressLineNumbers w:val="0"/>
      </w:pPr>
      <w:r>
        <w:rPr>
          <w:b/>
          <w:sz w:val="30"/>
          <w:highlight w:val="none"/>
        </w:rPr>
        <w:t xml:space="preserve">Mehr Sichtbarkeit für die Lehrleistung</w:t>
      </w:r>
      <w:r>
        <w:rPr>
          <w:b/>
          <w:sz w:val="30"/>
          <w:highlight w:val="none"/>
        </w:rPr>
      </w:r>
      <w:r/>
    </w:p>
    <w:p>
      <w:pPr>
        <w:contextualSpacing w:val="false"/>
        <w:jc w:val="left"/>
        <w:spacing w:lineRule="auto" w:line="276" w:after="198" w:before="200"/>
        <w:rPr>
          <w:sz w:val="24"/>
          <w:highlight w:val="none"/>
        </w:rPr>
        <w:suppressLineNumbers w:val="0"/>
      </w:pPr>
      <w:r>
        <w:rPr>
          <w:sz w:val="24"/>
          <w:highlight w:val="none"/>
        </w:rPr>
        <w:t xml:space="preserve">Dadurch dass die Inhalte nicht nur exklusiv den Studierenden der </w:t>
      </w:r>
      <w:r>
        <w:rPr>
          <w:sz w:val="24"/>
          <w:highlight w:val="none"/>
        </w:rPr>
        <w:t xml:space="preserve">jeweiligen Lehrveranstaltung vorbehalten sind, hat eine breitere </w:t>
      </w:r>
      <w:r>
        <w:rPr>
          <w:sz w:val="24"/>
          <w:highlight w:val="none"/>
        </w:rPr>
        <w:t xml:space="preserve">Öffentlichkeit Zugriff auf die Inhalte. Damit wird die Lehrleistung </w:t>
      </w:r>
      <w:r>
        <w:rPr>
          <w:sz w:val="24"/>
          <w:highlight w:val="none"/>
        </w:rPr>
        <w:t xml:space="preserve">der Lehrenden, die im Zuge der Lehre erbracht wurde, mehr nach </w:t>
      </w:r>
      <w:r>
        <w:rPr>
          <w:sz w:val="24"/>
          <w:highlight w:val="none"/>
        </w:rPr>
        <w:t xml:space="preserve">außen getragen und dadurch sichtbarer. Damit können sich auch </w:t>
      </w:r>
      <w:r>
        <w:rPr>
          <w:sz w:val="24"/>
          <w:highlight w:val="none"/>
        </w:rPr>
        <w:t xml:space="preserve">Reputationseffekte einstellen.</w:t>
      </w:r>
      <w:r>
        <w:rPr>
          <w:sz w:val="24"/>
          <w:highlight w:val="none"/>
        </w:rPr>
      </w:r>
      <w:r/>
    </w:p>
    <w:p>
      <w:pPr>
        <w:pStyle w:val="640"/>
        <w:contextualSpacing w:val="false"/>
        <w:jc w:val="left"/>
        <w:spacing w:lineRule="auto" w:line="276" w:after="198" w:before="200"/>
        <w:rPr>
          <w:b/>
          <w:sz w:val="34"/>
          <w:highlight w:val="none"/>
        </w:rPr>
        <w:suppressLineNumbers w:val="0"/>
      </w:pPr>
      <w:r>
        <w:rPr>
          <w:b/>
          <w:sz w:val="34"/>
          <w:highlight w:val="none"/>
        </w:rPr>
        <w:t xml:space="preserve">Wie und wo kann ich genauere Informationen </w:t>
      </w:r>
      <w:r>
        <w:rPr>
          <w:b/>
          <w:sz w:val="34"/>
          <w:highlight w:val="none"/>
        </w:rPr>
        <w:t xml:space="preserve">zum Thema </w:t>
      </w:r>
      <w:r>
        <w:rPr>
          <w:b/>
          <w:sz w:val="34"/>
          <w:highlight w:val="none"/>
          <w:lang w:val="en-GB"/>
        </w:rPr>
        <w:t xml:space="preserve">O E R</w:t>
      </w:r>
      <w:r>
        <w:rPr>
          <w:b/>
          <w:sz w:val="34"/>
          <w:highlight w:val="none"/>
        </w:rPr>
        <w:t xml:space="preserve"> erhalten?</w:t>
      </w:r>
      <w:r>
        <w:rPr>
          <w:b/>
          <w:sz w:val="34"/>
          <w:highlight w:val="none"/>
        </w:rPr>
      </w:r>
      <w:r/>
    </w:p>
    <w:p>
      <w:pPr>
        <w:contextualSpacing w:val="false"/>
        <w:jc w:val="left"/>
        <w:spacing w:lineRule="auto" w:line="276" w:after="198" w:before="200"/>
        <w:suppressLineNumbers w:val="0"/>
      </w:pPr>
      <w:r>
        <w:rPr>
          <w:sz w:val="24"/>
          <w:highlight w:val="none"/>
        </w:rPr>
        <w:t xml:space="preserve">An der T U Graz wird jedes Semester eine interne Weiterbildung zum </w:t>
      </w:r>
      <w:r>
        <w:rPr>
          <w:sz w:val="24"/>
          <w:highlight w:val="none"/>
        </w:rPr>
        <w:t xml:space="preserve">Thema „Urheberrecht und </w:t>
      </w:r>
      <w:r>
        <w:rPr>
          <w:sz w:val="24"/>
          <w:highlight w:val="none"/>
          <w:lang w:val="en-GB"/>
        </w:rPr>
        <w:t xml:space="preserve">Open Educational Resources</w:t>
      </w:r>
      <w:r>
        <w:rPr>
          <w:sz w:val="24"/>
          <w:highlight w:val="none"/>
        </w:rPr>
        <w:t xml:space="preserve">“ abgehalten. </w:t>
      </w:r>
      <w:r>
        <w:rPr>
          <w:sz w:val="24"/>
          <w:highlight w:val="none"/>
        </w:rPr>
        <w:t xml:space="preserve">Seit Sommersemester 2019 gibt es die Möglichkeit ein von der T U </w:t>
      </w:r>
      <w:r>
        <w:rPr>
          <w:sz w:val="24"/>
          <w:highlight w:val="none"/>
        </w:rPr>
        <w:t xml:space="preserve">Graz ausgestelltes und österreichweit anerkanntes </w:t>
      </w:r>
      <w:r>
        <w:rPr>
          <w:sz w:val="24"/>
          <w:highlight w:val="none"/>
          <w:lang w:val="en-GB"/>
        </w:rPr>
        <w:t xml:space="preserve">O E R</w:t>
      </w:r>
      <w:r>
        <w:rPr>
          <w:sz w:val="24"/>
          <w:highlight w:val="none"/>
        </w:rPr>
        <w:t xml:space="preserve">-Zertifikat </w:t>
      </w:r>
      <w:r>
        <w:rPr>
          <w:sz w:val="24"/>
          <w:highlight w:val="none"/>
        </w:rPr>
        <w:t xml:space="preserve">zu erlangen. Hierfür ist neben dem Besuch der oben genannten </w:t>
      </w:r>
      <w:r>
        <w:rPr>
          <w:sz w:val="24"/>
          <w:highlight w:val="none"/>
        </w:rPr>
        <w:t xml:space="preserve">Weiterbildung der Abschluss eines offenen Online-Kurses zum Thema, </w:t>
      </w:r>
      <w:r>
        <w:rPr>
          <w:sz w:val="24"/>
          <w:highlight w:val="none"/>
        </w:rPr>
        <w:t xml:space="preserve">sowie das Erstellen und Veröffentlichen erster eigener </w:t>
      </w:r>
      <w:r>
        <w:rPr>
          <w:sz w:val="24"/>
          <w:highlight w:val="none"/>
          <w:lang w:val="en-GB"/>
        </w:rPr>
        <w:t xml:space="preserve">O E R</w:t>
      </w:r>
      <w:r>
        <w:rPr>
          <w:sz w:val="24"/>
          <w:highlight w:val="none"/>
        </w:rPr>
        <w:t xml:space="preserve">-Objekte </w:t>
      </w:r>
      <w:r>
        <w:rPr>
          <w:sz w:val="24"/>
          <w:highlight w:val="none"/>
        </w:rPr>
        <w:t xml:space="preserve">erforderlich.</w:t>
      </w:r>
      <w:r>
        <w:rPr>
          <w:sz w:val="24"/>
          <w:highlight w:val="none"/>
        </w:rPr>
      </w:r>
      <w:r/>
    </w:p>
    <w:p>
      <w:pPr>
        <w:pStyle w:val="640"/>
        <w:contextualSpacing w:val="false"/>
        <w:jc w:val="left"/>
        <w:spacing w:lineRule="auto" w:line="276" w:after="198" w:before="200"/>
        <w:rPr>
          <w:b/>
          <w:sz w:val="34"/>
          <w:highlight w:val="none"/>
        </w:rPr>
        <w:suppressLineNumbers w:val="0"/>
      </w:pPr>
      <w:r>
        <w:rPr>
          <w:b/>
          <w:sz w:val="34"/>
          <w:highlight w:val="none"/>
        </w:rPr>
      </w:r>
      <w:r>
        <w:rPr>
          <w:b/>
          <w:sz w:val="34"/>
          <w:highlight w:val="none"/>
        </w:rPr>
        <w:t xml:space="preserve">Literaturverzeichnis</w:t>
      </w:r>
      <w:r>
        <w:rPr>
          <w:b/>
          <w:sz w:val="34"/>
          <w:highlight w:val="none"/>
        </w:rPr>
      </w:r>
      <w:r/>
    </w:p>
    <w:p>
      <w:pPr>
        <w:contextualSpacing w:val="false"/>
        <w:jc w:val="left"/>
        <w:spacing w:lineRule="auto" w:line="276" w:after="198" w:before="200"/>
        <w:suppressLineNumbers w:val="0"/>
      </w:pPr>
      <w:r>
        <w:rPr>
          <w:sz w:val="24"/>
          <w:highlight w:val="none"/>
        </w:rPr>
        <w:t xml:space="preserve">Wiley, David. „The Access Compromise and the 5th R.“ </w:t>
      </w:r>
      <w:r>
        <w:rPr>
          <w:sz w:val="24"/>
          <w:highlight w:val="none"/>
          <w:lang w:val="en-GB"/>
        </w:rPr>
        <w:t xml:space="preserve">The Access Compromise and the 5th R. </w:t>
      </w:r>
      <w:r>
        <w:rPr>
          <w:sz w:val="24"/>
          <w:highlight w:val="none"/>
          <w:lang w:val="en-GB"/>
        </w:rPr>
        <w:t xml:space="preserve">April 03, 2014</w:t>
      </w:r>
      <w:r>
        <w:rPr>
          <w:sz w:val="24"/>
          <w:highlight w:val="none"/>
          <w:lang w:val="en-GB"/>
        </w:rPr>
        <w:t xml:space="preserve">. </w:t>
      </w:r>
      <w:r>
        <w:rPr>
          <w:sz w:val="24"/>
          <w:highlight w:val="none"/>
          <w:lang w:val="en-GB"/>
        </w:rPr>
        <w:t xml:space="preserve">Accessed August 14, 2019</w:t>
      </w:r>
      <w:r>
        <w:rPr>
          <w:sz w:val="24"/>
          <w:highlight w:val="none"/>
        </w:rPr>
        <w:t xml:space="preserve">. </w:t>
      </w:r>
      <w:hyperlink r:id="rId14" w:tooltip="Link zur Seite &quot;The Access Compromise and the 5th R&quot;" w:history="1">
        <w:r>
          <w:rPr>
            <w:rStyle w:val="796"/>
            <w:sz w:val="24"/>
            <w:highlight w:val="none"/>
          </w:rPr>
          <w:t xml:space="preserve">https://opencontent.org/blog/archives/3221</w:t>
        </w:r>
      </w:hyperlink>
      <w:r>
        <w:rPr>
          <w:sz w:val="24"/>
          <w:highlight w:val="none"/>
        </w:rPr>
        <w:t xml:space="preserve">.</w:t>
      </w:r>
      <w:r/>
    </w:p>
    <w:p>
      <w:pPr>
        <w:contextualSpacing w:val="false"/>
        <w:jc w:val="left"/>
        <w:spacing w:lineRule="auto" w:line="276" w:after="198" w:before="200"/>
        <w:suppressLineNumbers w:val="0"/>
      </w:pPr>
      <w:r>
        <w:rPr>
          <w:sz w:val="24"/>
          <w:highlight w:val="none"/>
        </w:rPr>
        <w:t xml:space="preserve">Muuß-Merholz, Jöran. „Zur Definition Von „Open“ in „</w:t>
      </w:r>
      <w:r>
        <w:rPr>
          <w:sz w:val="24"/>
          <w:highlight w:val="none"/>
          <w:lang w:val="en-GB"/>
        </w:rPr>
        <w:t xml:space="preserve">Open Educational Resources</w:t>
      </w:r>
      <w:r>
        <w:rPr>
          <w:sz w:val="24"/>
          <w:highlight w:val="none"/>
        </w:rPr>
        <w:t xml:space="preserve">“ – Die 5 R-Freiheiten Nach David </w:t>
      </w:r>
      <w:r>
        <w:rPr>
          <w:sz w:val="24"/>
          <w:highlight w:val="none"/>
        </w:rPr>
        <w:t xml:space="preserve">Wiley Auf Deutsch Als Die 5 V-Freiheiten.“ </w:t>
      </w:r>
      <w:r>
        <w:rPr>
          <w:sz w:val="24"/>
          <w:highlight w:val="none"/>
          <w:lang w:val="en-GB"/>
        </w:rPr>
        <w:t xml:space="preserve">O E R</w:t>
      </w:r>
      <w:r>
        <w:rPr>
          <w:sz w:val="24"/>
          <w:highlight w:val="none"/>
        </w:rPr>
        <w:t xml:space="preserve"> info – Informationsstelle </w:t>
      </w:r>
      <w:r>
        <w:rPr>
          <w:sz w:val="24"/>
          <w:highlight w:val="none"/>
          <w:lang w:val="en-GB"/>
        </w:rPr>
        <w:t xml:space="preserve">O E R</w:t>
      </w:r>
      <w:r>
        <w:rPr>
          <w:sz w:val="24"/>
          <w:highlight w:val="none"/>
        </w:rPr>
        <w:t xml:space="preserve">. </w:t>
      </w:r>
      <w:r>
        <w:rPr>
          <w:sz w:val="24"/>
          <w:highlight w:val="none"/>
          <w:lang w:val="en-GB"/>
        </w:rPr>
        <w:t xml:space="preserve">January 23, 2018. Accessed August 14, </w:t>
      </w:r>
      <w:r>
        <w:rPr>
          <w:sz w:val="24"/>
          <w:highlight w:val="none"/>
          <w:lang w:val="en-GB"/>
        </w:rPr>
        <w:t xml:space="preserve">2019</w:t>
      </w:r>
      <w:r>
        <w:rPr>
          <w:sz w:val="24"/>
          <w:highlight w:val="none"/>
        </w:rPr>
        <w:t xml:space="preserve">. </w:t>
      </w:r>
      <w:hyperlink r:id="rId15" w:tooltip="Link zur Seite &quot;Zur Definition von „Open“ in „Open Educational Resources“ – die 5 R-Freiheiten nach David Wiley auf Deutsch als die 5 V-Freiheiten&quot;" w:history="1">
        <w:r>
          <w:rPr>
            <w:rStyle w:val="796"/>
            <w:sz w:val="24"/>
            <w:highlight w:val="none"/>
          </w:rPr>
          <w:t xml:space="preserve">https://open-educational-resources.de/5rs-auf-deutsch/</w:t>
        </w:r>
      </w:hyperlink>
      <w:r>
        <w:rPr>
          <w:sz w:val="24"/>
          <w:highlight w:val="none"/>
        </w:rPr>
        <w:t xml:space="preserve">.</w:t>
      </w:r>
      <w:r>
        <w:rPr>
          <w:sz w:val="24"/>
          <w:highlight w:val="none"/>
        </w:rPr>
      </w:r>
      <w:r/>
    </w:p>
    <w:p>
      <w:pPr>
        <w:pStyle w:val="640"/>
        <w:contextualSpacing w:val="false"/>
        <w:jc w:val="left"/>
        <w:spacing w:lineRule="auto" w:line="276" w:after="198" w:before="200"/>
        <w:rPr>
          <w:b/>
          <w:sz w:val="34"/>
          <w:highlight w:val="none"/>
        </w:rPr>
        <w:suppressLineNumbers w:val="0"/>
      </w:pPr>
      <w:r>
        <w:rPr>
          <w:b/>
          <w:sz w:val="34"/>
          <w:highlight w:val="none"/>
        </w:rPr>
        <w:t xml:space="preserve">Sticker zum Beitrag</w:t>
      </w:r>
      <w:r>
        <w:rPr>
          <w:b/>
          <w:sz w:val="34"/>
          <w:highlight w:val="none"/>
        </w:rPr>
      </w:r>
      <w:r/>
    </w:p>
    <w:p>
      <w:pPr>
        <w:contextualSpacing w:val="false"/>
        <w:jc w:val="left"/>
        <w:spacing w:lineRule="auto" w:line="276" w:after="198" w:before="200"/>
        <w:rPr>
          <w:sz w:val="24"/>
          <w:highlight w:val="none"/>
        </w:rPr>
        <w:suppressLineNumbers w:val="0"/>
      </w:pPr>
      <w:r>
        <w:rPr>
          <w:sz w:val="24"/>
          <w:highlight w:val="none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3086100" cy="2962275"/>
                <wp:effectExtent l="0" t="0" r="0" b="0"/>
                <wp:docPr id="3" name="" hidden="false" title="Sticker zum Beitrag: ein QR-Code für die Website education.okfn.org über den O E R Canvas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" hidden="0" title="Sticker zum Beitrag: ein QR-Code für die Website education.okfn.org über den O E R Canvas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6"/>
                        <a:stretch/>
                      </pic:blipFill>
                      <pic:spPr bwMode="auto">
                        <a:xfrm rot="0" flipH="0" flipV="0">
                          <a:off x="0" y="0"/>
                          <a:ext cx="3086100" cy="296227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mso-wrap-distance-left:0.0pt;mso-wrap-distance-top:0.0pt;mso-wrap-distance-right:0.0pt;mso-wrap-distance-bottom:0.0pt;width:243.0pt;height:233.2pt;rotation:0;" stroked="false">
                <v:path textboxrect="0,0,0,0"/>
                <v:imagedata r:id="rId16" o:title=""/>
              </v:shape>
            </w:pict>
          </mc:Fallback>
        </mc:AlternateContent>
      </w:r>
      <w:r>
        <w:rPr>
          <w:sz w:val="24"/>
          <w:highlight w:val="none"/>
        </w:rPr>
      </w:r>
      <w:r/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Rule="auto" w:line="240" w:after="0"/>
      </w:pPr>
      <w:r>
        <w:separator/>
      </w:r>
      <w:r/>
    </w:p>
  </w:endnote>
  <w:endnote w:type="continuationSeparator" w:id="0">
    <w:p>
      <w:pPr>
        <w:spacing w:lineRule="auto" w:line="240" w:after="0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206030504050203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lineRule="auto" w:line="240" w:after="0"/>
      </w:pPr>
      <w:r>
        <w:separator/>
      </w:r>
      <w:r/>
    </w:p>
  </w:footnote>
  <w:footnote w:type="continuationSeparator" w:id="0">
    <w:p>
      <w:pPr>
        <w:spacing w:lineRule="auto" w:line="240" w:after="0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ascii="Symbol" w:hAnsi="Symbol" w:cs="Symbol" w:eastAsia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 w:hint="default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ascii="Symbol" w:hAnsi="Symbol" w:cs="Symbol" w:eastAsia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/>
  <w:trackRevisions w:val="false"/>
  <w:footnotePr>
    <w:footnote w:id="-1"/>
    <w:footnote w:id="0"/>
    <w:numFmt w:val="decimal"/>
    <w:numRestart w:val="continuous"/>
    <w:numStart w:val="1"/>
    <w:pos w:val="pageBottom"/>
  </w:footnotePr>
  <w:endnotePr>
    <w:endnote w:id="-1"/>
    <w:endnote w:id="0"/>
    <w:numFmt w:val="lowerRoman"/>
    <w:numRestart w:val="continuous"/>
    <w:numStart w:val="1"/>
    <w:pos w:val="docEnd"/>
  </w:endnotePr>
  <w:decimalSymbol w:val="."/>
  <w:listSeparator w:val=",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hAnsi="Arial" w:cs="Arial" w:eastAsia="Arial" w:hint="default"/>
        <w:sz w:val="22"/>
        <w:szCs w:val="22"/>
        <w:lang w:val="de-DE" w:bidi="ar-SA" w:eastAsia="en-US"/>
      </w:rPr>
    </w:rPrDefault>
    <w:pPrDefault>
      <w:pPr>
        <w:spacing w:lineRule="auto" w:line="276" w:after="200" w:afterAutospacing="0" w:before="0" w:beforeAutospacing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38">
    <w:name w:val="Heading 1"/>
    <w:basedOn w:val="814"/>
    <w:next w:val="814"/>
    <w:link w:val="639"/>
    <w:qFormat/>
    <w:uiPriority w:val="9"/>
    <w:rPr>
      <w:rFonts w:ascii="Arial" w:hAnsi="Arial" w:cs="Arial" w:eastAsia="Arial"/>
      <w:sz w:val="40"/>
      <w:szCs w:val="40"/>
    </w:rPr>
    <w:pPr>
      <w:keepLines/>
      <w:keepNext/>
      <w:spacing w:after="200" w:before="480"/>
      <w:outlineLvl w:val="0"/>
    </w:pPr>
  </w:style>
  <w:style w:type="character" w:styleId="639">
    <w:name w:val="Heading 1 Char"/>
    <w:link w:val="638"/>
    <w:uiPriority w:val="9"/>
    <w:rPr>
      <w:rFonts w:ascii="Arial" w:hAnsi="Arial" w:cs="Arial" w:eastAsia="Arial"/>
      <w:sz w:val="40"/>
      <w:szCs w:val="40"/>
    </w:rPr>
  </w:style>
  <w:style w:type="paragraph" w:styleId="640">
    <w:name w:val="Heading 2"/>
    <w:basedOn w:val="814"/>
    <w:next w:val="814"/>
    <w:link w:val="641"/>
    <w:qFormat/>
    <w:uiPriority w:val="9"/>
    <w:unhideWhenUsed/>
    <w:rPr>
      <w:rFonts w:ascii="Arial" w:hAnsi="Arial" w:cs="Arial" w:eastAsia="Arial"/>
      <w:sz w:val="34"/>
    </w:rPr>
    <w:pPr>
      <w:keepLines/>
      <w:keepNext/>
      <w:spacing w:after="200" w:before="360"/>
      <w:outlineLvl w:val="1"/>
    </w:pPr>
  </w:style>
  <w:style w:type="character" w:styleId="641">
    <w:name w:val="Heading 2 Char"/>
    <w:link w:val="640"/>
    <w:uiPriority w:val="9"/>
    <w:rPr>
      <w:rFonts w:ascii="Arial" w:hAnsi="Arial" w:cs="Arial" w:eastAsia="Arial"/>
      <w:sz w:val="34"/>
    </w:rPr>
  </w:style>
  <w:style w:type="paragraph" w:styleId="642">
    <w:name w:val="Heading 3"/>
    <w:basedOn w:val="814"/>
    <w:next w:val="814"/>
    <w:link w:val="643"/>
    <w:qFormat/>
    <w:uiPriority w:val="9"/>
    <w:unhideWhenUsed/>
    <w:rPr>
      <w:rFonts w:ascii="Arial" w:hAnsi="Arial" w:cs="Arial" w:eastAsia="Arial"/>
      <w:sz w:val="30"/>
      <w:szCs w:val="30"/>
    </w:rPr>
    <w:pPr>
      <w:keepLines/>
      <w:keepNext/>
      <w:spacing w:after="200" w:before="320"/>
      <w:outlineLvl w:val="2"/>
    </w:pPr>
  </w:style>
  <w:style w:type="character" w:styleId="643">
    <w:name w:val="Heading 3 Char"/>
    <w:link w:val="642"/>
    <w:uiPriority w:val="9"/>
    <w:rPr>
      <w:rFonts w:ascii="Arial" w:hAnsi="Arial" w:cs="Arial" w:eastAsia="Arial"/>
      <w:sz w:val="30"/>
      <w:szCs w:val="30"/>
    </w:rPr>
  </w:style>
  <w:style w:type="paragraph" w:styleId="644">
    <w:name w:val="Heading 4"/>
    <w:basedOn w:val="814"/>
    <w:next w:val="814"/>
    <w:link w:val="645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keepLines/>
      <w:keepNext/>
      <w:spacing w:after="200" w:before="320"/>
      <w:outlineLvl w:val="3"/>
    </w:pPr>
  </w:style>
  <w:style w:type="character" w:styleId="645">
    <w:name w:val="Heading 4 Char"/>
    <w:link w:val="644"/>
    <w:uiPriority w:val="9"/>
    <w:rPr>
      <w:rFonts w:ascii="Arial" w:hAnsi="Arial" w:cs="Arial" w:eastAsia="Arial"/>
      <w:b/>
      <w:bCs/>
      <w:sz w:val="26"/>
      <w:szCs w:val="26"/>
    </w:rPr>
  </w:style>
  <w:style w:type="paragraph" w:styleId="646">
    <w:name w:val="Heading 5"/>
    <w:basedOn w:val="814"/>
    <w:next w:val="814"/>
    <w:link w:val="647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Lines/>
      <w:keepNext/>
      <w:spacing w:after="200" w:before="320"/>
      <w:outlineLvl w:val="4"/>
    </w:pPr>
  </w:style>
  <w:style w:type="character" w:styleId="647">
    <w:name w:val="Heading 5 Char"/>
    <w:link w:val="646"/>
    <w:uiPriority w:val="9"/>
    <w:rPr>
      <w:rFonts w:ascii="Arial" w:hAnsi="Arial" w:cs="Arial" w:eastAsia="Arial"/>
      <w:b/>
      <w:bCs/>
      <w:sz w:val="24"/>
      <w:szCs w:val="24"/>
    </w:rPr>
  </w:style>
  <w:style w:type="paragraph" w:styleId="648">
    <w:name w:val="Heading 6"/>
    <w:basedOn w:val="814"/>
    <w:next w:val="814"/>
    <w:link w:val="649"/>
    <w:qFormat/>
    <w:uiPriority w:val="9"/>
    <w:unhideWhenUsed/>
    <w:rPr>
      <w:rFonts w:ascii="Arial" w:hAnsi="Arial" w:cs="Arial" w:eastAsia="Arial"/>
      <w:b/>
      <w:bCs/>
      <w:sz w:val="22"/>
      <w:szCs w:val="22"/>
    </w:rPr>
    <w:pPr>
      <w:keepLines/>
      <w:keepNext/>
      <w:spacing w:after="200" w:before="320"/>
      <w:outlineLvl w:val="5"/>
    </w:pPr>
  </w:style>
  <w:style w:type="character" w:styleId="649">
    <w:name w:val="Heading 6 Char"/>
    <w:link w:val="648"/>
    <w:uiPriority w:val="9"/>
    <w:rPr>
      <w:rFonts w:ascii="Arial" w:hAnsi="Arial" w:cs="Arial" w:eastAsia="Arial"/>
      <w:b/>
      <w:bCs/>
      <w:sz w:val="22"/>
      <w:szCs w:val="22"/>
    </w:rPr>
  </w:style>
  <w:style w:type="paragraph" w:styleId="650">
    <w:name w:val="Heading 7"/>
    <w:basedOn w:val="814"/>
    <w:next w:val="814"/>
    <w:link w:val="651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character" w:styleId="651">
    <w:name w:val="Heading 7 Char"/>
    <w:link w:val="650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652">
    <w:name w:val="Heading 8"/>
    <w:basedOn w:val="814"/>
    <w:next w:val="814"/>
    <w:link w:val="653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character" w:styleId="653">
    <w:name w:val="Heading 8 Char"/>
    <w:link w:val="652"/>
    <w:uiPriority w:val="9"/>
    <w:rPr>
      <w:rFonts w:ascii="Arial" w:hAnsi="Arial" w:cs="Arial" w:eastAsia="Arial"/>
      <w:i/>
      <w:iCs/>
      <w:sz w:val="22"/>
      <w:szCs w:val="22"/>
    </w:rPr>
  </w:style>
  <w:style w:type="paragraph" w:styleId="654">
    <w:name w:val="Heading 9"/>
    <w:basedOn w:val="814"/>
    <w:next w:val="814"/>
    <w:link w:val="655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655">
    <w:name w:val="Heading 9 Char"/>
    <w:link w:val="654"/>
    <w:uiPriority w:val="9"/>
    <w:rPr>
      <w:rFonts w:ascii="Arial" w:hAnsi="Arial" w:cs="Arial" w:eastAsia="Arial"/>
      <w:i/>
      <w:iCs/>
      <w:sz w:val="21"/>
      <w:szCs w:val="21"/>
    </w:rPr>
  </w:style>
  <w:style w:type="paragraph" w:styleId="656">
    <w:name w:val="Title"/>
    <w:basedOn w:val="814"/>
    <w:next w:val="814"/>
    <w:link w:val="657"/>
    <w:qFormat/>
    <w:uiPriority w:val="10"/>
    <w:rPr>
      <w:sz w:val="48"/>
      <w:szCs w:val="48"/>
    </w:rPr>
    <w:pPr>
      <w:contextualSpacing w:val="true"/>
      <w:spacing w:after="200" w:before="300"/>
    </w:pPr>
  </w:style>
  <w:style w:type="character" w:styleId="657">
    <w:name w:val="Title Char"/>
    <w:link w:val="656"/>
    <w:uiPriority w:val="10"/>
    <w:rPr>
      <w:sz w:val="48"/>
      <w:szCs w:val="48"/>
    </w:rPr>
  </w:style>
  <w:style w:type="paragraph" w:styleId="658">
    <w:name w:val="Subtitle"/>
    <w:basedOn w:val="814"/>
    <w:next w:val="814"/>
    <w:link w:val="659"/>
    <w:qFormat/>
    <w:uiPriority w:val="11"/>
    <w:rPr>
      <w:sz w:val="24"/>
      <w:szCs w:val="24"/>
    </w:rPr>
    <w:pPr>
      <w:spacing w:after="200" w:before="200"/>
    </w:pPr>
  </w:style>
  <w:style w:type="character" w:styleId="659">
    <w:name w:val="Subtitle Char"/>
    <w:link w:val="658"/>
    <w:uiPriority w:val="11"/>
    <w:rPr>
      <w:sz w:val="24"/>
      <w:szCs w:val="24"/>
    </w:rPr>
  </w:style>
  <w:style w:type="paragraph" w:styleId="660">
    <w:name w:val="Quote"/>
    <w:basedOn w:val="814"/>
    <w:next w:val="814"/>
    <w:link w:val="661"/>
    <w:qFormat/>
    <w:uiPriority w:val="29"/>
    <w:rPr>
      <w:i/>
    </w:rPr>
    <w:pPr>
      <w:ind w:left="720" w:right="720"/>
    </w:pPr>
  </w:style>
  <w:style w:type="character" w:styleId="661">
    <w:name w:val="Quote Char"/>
    <w:link w:val="660"/>
    <w:uiPriority w:val="29"/>
    <w:rPr>
      <w:i/>
    </w:rPr>
  </w:style>
  <w:style w:type="paragraph" w:styleId="662">
    <w:name w:val="Intense Quote"/>
    <w:basedOn w:val="814"/>
    <w:next w:val="814"/>
    <w:link w:val="663"/>
    <w:qFormat/>
    <w:uiPriority w:val="30"/>
    <w:rPr>
      <w:i/>
    </w:rPr>
    <w:pPr>
      <w:contextualSpacing w:val="false"/>
      <w:ind w:left="720" w:right="720"/>
      <w:shd w:val="clear" w:color="F2F2F2" w:fill="F2F2F2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663">
    <w:name w:val="Intense Quote Char"/>
    <w:link w:val="662"/>
    <w:uiPriority w:val="30"/>
    <w:rPr>
      <w:i/>
    </w:rPr>
  </w:style>
  <w:style w:type="paragraph" w:styleId="664">
    <w:name w:val="Header"/>
    <w:basedOn w:val="814"/>
    <w:link w:val="665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665">
    <w:name w:val="Header Char"/>
    <w:link w:val="664"/>
    <w:uiPriority w:val="99"/>
  </w:style>
  <w:style w:type="paragraph" w:styleId="666">
    <w:name w:val="Footer"/>
    <w:basedOn w:val="814"/>
    <w:link w:val="669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667">
    <w:name w:val="Footer Char"/>
    <w:link w:val="666"/>
    <w:uiPriority w:val="99"/>
  </w:style>
  <w:style w:type="paragraph" w:styleId="668">
    <w:name w:val="Caption"/>
    <w:basedOn w:val="814"/>
    <w:next w:val="814"/>
    <w:qFormat/>
    <w:uiPriority w:val="35"/>
    <w:semiHidden/>
    <w:unhideWhenUsed/>
    <w:rPr>
      <w:b/>
      <w:bCs/>
      <w:color w:val="4F81BD" w:themeColor="accent1"/>
      <w:sz w:val="18"/>
      <w:szCs w:val="18"/>
    </w:rPr>
    <w:pPr>
      <w:spacing w:lineRule="auto" w:line="276"/>
    </w:pPr>
  </w:style>
  <w:style w:type="character" w:styleId="669">
    <w:name w:val="Caption Char"/>
    <w:basedOn w:val="668"/>
    <w:link w:val="666"/>
    <w:uiPriority w:val="99"/>
  </w:style>
  <w:style w:type="table" w:styleId="670">
    <w:name w:val="Table Grid"/>
    <w:basedOn w:val="815"/>
    <w:uiPriority w:val="59"/>
    <w:pPr>
      <w:spacing w:lineRule="auto" w:line="240" w:after="0"/>
    </w:pPr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71">
    <w:name w:val="Table Grid Light"/>
    <w:basedOn w:val="815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72">
    <w:name w:val="Plain Table 1"/>
    <w:basedOn w:val="815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3">
    <w:name w:val="Plain Table 2"/>
    <w:basedOn w:val="815"/>
    <w:uiPriority w:val="59"/>
    <w:pPr>
      <w:spacing w:lineRule="auto" w:line="240" w:after="0"/>
    </w:pPr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4">
    <w:name w:val="Plain Table 3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75">
    <w:name w:val="Plain Table 4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6">
    <w:name w:val="Plain Table 5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color="FFFFFF" w:fill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677">
    <w:name w:val="Grid Table 1 Light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67"/>
        <w:top w:val="single" w:color="000000" w:sz="4" w:space="0" w:themeColor="text1" w:themeTint="67"/>
        <w:right w:val="single" w:color="000000" w:sz="4" w:space="0" w:themeColor="text1" w:themeTint="67"/>
        <w:bottom w:val="single" w:color="000000" w:sz="4" w:space="0" w:themeColor="text1" w:themeTint="67"/>
        <w:insideV w:val="single" w:color="000000" w:sz="4" w:space="0" w:themeColor="text1" w:themeTint="67"/>
        <w:insideH w:val="single" w:color="000000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67"/>
          <w:top w:val="single" w:color="000000" w:sz="4" w:space="0" w:themeColor="text1" w:themeTint="67"/>
          <w:right w:val="single" w:color="000000" w:sz="4" w:space="0" w:themeColor="text1" w:themeTint="67"/>
          <w:bottom w:val="single" w:color="000000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8">
    <w:name w:val="Grid Table 1 Light - Accent 1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9">
    <w:name w:val="Grid Table 1 Light - Accent 2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0">
    <w:name w:val="Grid Table 1 Light - Accent 3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1">
    <w:name w:val="Grid Table 1 Light - Accent 4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2">
    <w:name w:val="Grid Table 1 Light - Accent 5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3">
    <w:name w:val="Grid Table 1 Light - Accent 6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4">
    <w:name w:val="Grid Table 2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single" w:color="000000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685">
    <w:name w:val="Grid Table 2 - Accent 1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single" w:color="000000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686">
    <w:name w:val="Grid Table 2 - Accent 2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687">
    <w:name w:val="Grid Table 2 - Accent 3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688">
    <w:name w:val="Grid Table 2 - Accent 4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689">
    <w:name w:val="Grid Table 2 - Accent 5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690">
    <w:name w:val="Grid Table 2 - Accent 6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691">
    <w:name w:val="Grid Table 3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92">
    <w:name w:val="Grid Table 3 - Accent 1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93">
    <w:name w:val="Grid Table 3 - Accent 2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94">
    <w:name w:val="Grid Table 3 - Accent 3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95">
    <w:name w:val="Grid Table 3 - Accent 4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96">
    <w:name w:val="Grid Table 3 - Accent 5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97">
    <w:name w:val="Grid Table 3 - Accent 6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98">
    <w:name w:val="Grid Table 4"/>
    <w:basedOn w:val="815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90"/>
        <w:top w:val="single" w:color="000000" w:sz="4" w:space="0" w:themeColor="text1" w:themeTint="90"/>
        <w:right w:val="single" w:color="000000" w:sz="4" w:space="0" w:themeColor="text1" w:themeTint="90"/>
        <w:bottom w:val="single" w:color="000000" w:sz="4" w:space="0" w:themeColor="text1" w:themeTint="90"/>
        <w:insideV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699">
    <w:name w:val="Grid Table 4 - Accent 1"/>
    <w:basedOn w:val="815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V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  <w:tcBorders>
          <w:left w:val="single" w:color="000000" w:sz="4" w:space="0" w:themeColor="accent1" w:themeTint="EA"/>
          <w:top w:val="single" w:color="000000" w:sz="4" w:space="0" w:themeColor="accent1" w:themeTint="EA"/>
          <w:right w:val="single" w:color="000000" w:sz="4" w:space="0" w:themeColor="accent1" w:themeTint="EA"/>
          <w:bottom w:val="single" w:color="000000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1" w:themeTint="EA"/>
        </w:tcBorders>
      </w:tcPr>
    </w:tblStylePr>
  </w:style>
  <w:style w:type="table" w:styleId="700">
    <w:name w:val="Grid Table 4 - Accent 2"/>
    <w:basedOn w:val="815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V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  <w:tcBorders>
          <w:left w:val="single" w:color="000000" w:sz="4" w:space="0" w:themeColor="accent2" w:themeTint="97"/>
          <w:top w:val="single" w:color="000000" w:sz="4" w:space="0" w:themeColor="accent2" w:themeTint="97"/>
          <w:right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2" w:themeTint="97"/>
        </w:tcBorders>
      </w:tcPr>
    </w:tblStylePr>
  </w:style>
  <w:style w:type="table" w:styleId="701">
    <w:name w:val="Grid Table 4 - Accent 3"/>
    <w:basedOn w:val="815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V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  <w:tcBorders>
          <w:left w:val="single" w:color="000000" w:sz="4" w:space="0" w:themeColor="accent3" w:themeTint="FE"/>
          <w:top w:val="single" w:color="000000" w:sz="4" w:space="0" w:themeColor="accent3" w:themeTint="FE"/>
          <w:right w:val="single" w:color="000000" w:sz="4" w:space="0" w:themeColor="accent3" w:themeTint="FE"/>
          <w:bottom w:val="single" w:color="000000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3" w:themeTint="FE"/>
        </w:tcBorders>
      </w:tcPr>
    </w:tblStylePr>
  </w:style>
  <w:style w:type="table" w:styleId="702">
    <w:name w:val="Grid Table 4 - Accent 4"/>
    <w:basedOn w:val="815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V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  <w:tcBorders>
          <w:left w:val="single" w:color="000000" w:sz="4" w:space="0" w:themeColor="accent4" w:themeTint="9A"/>
          <w:top w:val="single" w:color="000000" w:sz="4" w:space="0" w:themeColor="accent4" w:themeTint="9A"/>
          <w:right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4" w:themeTint="9A"/>
        </w:tcBorders>
      </w:tcPr>
    </w:tblStylePr>
  </w:style>
  <w:style w:type="table" w:styleId="703">
    <w:name w:val="Grid Table 4 - Accent 5"/>
    <w:basedOn w:val="815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  <w:tcBorders>
          <w:left w:val="single" w:color="000000" w:sz="4" w:space="0" w:themeColor="accent5"/>
          <w:top w:val="single" w:color="000000" w:sz="4" w:space="0" w:themeColor="accent5"/>
          <w:right w:val="single" w:color="000000" w:sz="4" w:space="0" w:themeColor="accent5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5"/>
        </w:tcBorders>
      </w:tcPr>
    </w:tblStylePr>
  </w:style>
  <w:style w:type="table" w:styleId="704">
    <w:name w:val="Grid Table 4 - Accent 6"/>
    <w:basedOn w:val="815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  <w:tcBorders>
          <w:left w:val="single" w:color="000000" w:sz="4" w:space="0" w:themeColor="accent6"/>
          <w:top w:val="single" w:color="000000" w:sz="4" w:space="0" w:themeColor="accent6"/>
          <w:right w:val="single" w:color="000000" w:sz="4" w:space="0" w:themeColor="accent6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6"/>
        </w:tcBorders>
      </w:tcPr>
    </w:tblStylePr>
  </w:style>
  <w:style w:type="table" w:styleId="705">
    <w:name w:val="Grid Table 5 Dark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fill="FFFFFF"/>
    </w:tblPr>
    <w:tblStylePr w:type="band1Horz"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fill="FFFFFF"/>
        <w:tcBorders>
          <w:top w:val="single" w:color="000000" w:sz="4" w:space="0" w:themeColor="light1"/>
        </w:tcBorders>
      </w:tcPr>
    </w:tblStylePr>
  </w:style>
  <w:style w:type="table" w:styleId="706">
    <w:name w:val="Grid Table 5 Dark- Accent 1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fill="FFFFFF"/>
    </w:tblPr>
    <w:tblStylePr w:type="band1Horz"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fill="FFFFFF"/>
        <w:tcBorders>
          <w:top w:val="single" w:color="000000" w:sz="4" w:space="0" w:themeColor="light1"/>
        </w:tcBorders>
      </w:tcPr>
    </w:tblStylePr>
  </w:style>
  <w:style w:type="table" w:styleId="707">
    <w:name w:val="Grid Table 5 Dark - Accent 2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fill="FFFFFF"/>
    </w:tblPr>
    <w:tblStylePr w:type="band1Horz"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fill="FFFFFF"/>
        <w:tcBorders>
          <w:top w:val="single" w:color="000000" w:sz="4" w:space="0" w:themeColor="light1"/>
        </w:tcBorders>
      </w:tcPr>
    </w:tblStylePr>
  </w:style>
  <w:style w:type="table" w:styleId="708">
    <w:name w:val="Grid Table 5 Dark - Accent 3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fill="FFFFFF"/>
    </w:tblPr>
    <w:tblStylePr w:type="band1Horz"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fill="FFFFFF"/>
        <w:tcBorders>
          <w:top w:val="single" w:color="000000" w:sz="4" w:space="0" w:themeColor="light1"/>
        </w:tcBorders>
      </w:tcPr>
    </w:tblStylePr>
  </w:style>
  <w:style w:type="table" w:styleId="709">
    <w:name w:val="Grid Table 5 Dark- Accent 4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fill="FFFFFF"/>
    </w:tblPr>
    <w:tblStylePr w:type="band1Horz"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fill="FFFFFF"/>
        <w:tcBorders>
          <w:top w:val="single" w:color="000000" w:sz="4" w:space="0" w:themeColor="light1"/>
        </w:tcBorders>
      </w:tcPr>
    </w:tblStylePr>
  </w:style>
  <w:style w:type="table" w:styleId="710">
    <w:name w:val="Grid Table 5 Dark - Accent 5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fill="FFFFFF"/>
    </w:tblPr>
    <w:tblStylePr w:type="band1Horz"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fill="FFFFFF"/>
        <w:tcBorders>
          <w:top w:val="single" w:color="000000" w:sz="4" w:space="0" w:themeColor="light1"/>
        </w:tcBorders>
      </w:tcPr>
    </w:tblStylePr>
  </w:style>
  <w:style w:type="table" w:styleId="711">
    <w:name w:val="Grid Table 5 Dark - Accent 6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fill="FFFFFF"/>
    </w:tblPr>
    <w:tblStylePr w:type="band1Horz"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fill="FFFFFF"/>
        <w:tcBorders>
          <w:top w:val="single" w:color="000000" w:sz="4" w:space="0" w:themeColor="light1"/>
        </w:tcBorders>
      </w:tcPr>
    </w:tblStylePr>
  </w:style>
  <w:style w:type="table" w:styleId="712">
    <w:name w:val="Grid Table 6 Colorful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80"/>
        <w:top w:val="single" w:color="000000" w:sz="4" w:space="0" w:themeColor="text1" w:themeTint="80"/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13">
    <w:name w:val="Grid Table 6 Colorful - Accent 1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80"/>
        <w:top w:val="single" w:color="000000" w:sz="4" w:space="0" w:themeColor="accent1" w:themeTint="80"/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sz="12" w:space="0" w:themeColor="accent1" w:themeTint="8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14">
    <w:name w:val="Grid Table 6 Colorful - Accent 2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15">
    <w:name w:val="Grid Table 6 Colorful - Accent 3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FE"/>
        <w:top w:val="single" w:color="000000" w:sz="4" w:space="0" w:themeColor="accent3" w:themeTint="FE"/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sz="12" w:space="0" w:themeColor="accent3" w:themeTint="FE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16">
    <w:name w:val="Grid Table 6 Colorful - Accent 4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17">
    <w:name w:val="Grid Table 6 Colorful - Accent 5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/>
        <w:top w:val="single" w:color="000000" w:sz="4" w:space="0" w:themeColor="accent5"/>
        <w:right w:val="single" w:color="000000" w:sz="4" w:space="0" w:themeColor="accent5"/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sz="12" w:space="0" w:themeColor="accent5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8">
    <w:name w:val="Grid Table 6 Colorful - Accent 6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/>
        <w:top w:val="single" w:color="000000" w:sz="4" w:space="0" w:themeColor="accent6"/>
        <w:right w:val="single" w:color="000000" w:sz="4" w:space="0" w:themeColor="accent6"/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sz="12" w:space="0" w:themeColor="accent6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9">
    <w:name w:val="Grid Table 7 Colorful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 w:fill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 w:fill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fill="FFFFFF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</w:style>
  <w:style w:type="table" w:styleId="720">
    <w:name w:val="Grid Table 7 Colorful - Accent 1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 w:fill="FFFFFF"/>
        <w:tcBorders>
          <w:left w:val="none" w:color="000000" w:sz="4" w:space="0"/>
          <w:top w:val="none" w:color="000000" w:sz="4" w:space="0"/>
          <w:right w:val="single" w:color="000000" w:sz="4" w:space="0" w:themeColor="accen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 w:themeTint="8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 w:fill="FFFFFF"/>
        <w:tcBorders>
          <w:left w:val="single" w:color="000000" w:sz="4" w:space="0" w:themeColor="accen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fill="FFFFFF"/>
        <w:tcBorders>
          <w:left w:val="none" w:color="000000" w:sz="4" w:space="0"/>
          <w:top w:val="single" w:color="000000" w:sz="4" w:space="0" w:themeColor="accent1" w:themeTint="80"/>
          <w:right w:val="none" w:color="000000" w:sz="4" w:space="0"/>
          <w:bottom w:val="none" w:color="000000" w:sz="4" w:space="0"/>
        </w:tcBorders>
      </w:tcPr>
    </w:tblStylePr>
  </w:style>
  <w:style w:type="table" w:styleId="721">
    <w:name w:val="Grid Table 7 Colorful - Accent 2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 w:fill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fill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fill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722">
    <w:name w:val="Grid Table 7 Colorful - Accent 3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 w:fill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FE"/>
          <w:bottom w:val="none" w:color="000000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F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 w:fill="FFFFFF"/>
        <w:tcBorders>
          <w:left w:val="single" w:color="000000" w:sz="4" w:space="0" w:themeColor="accent3" w:themeTint="FE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fill="FFFFFF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723">
    <w:name w:val="Grid Table 7 Colorful - Accent 4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 w:fill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fill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fill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724">
    <w:name w:val="Grid Table 7 Colorful - Accent 5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 w:fill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 w:fill="FFFFFF"/>
        <w:tcBorders>
          <w:left w:val="single" w:color="000000" w:sz="4" w:space="0" w:themeColor="accent5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fill="FFFFFF"/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none" w:color="000000" w:sz="4" w:space="0"/>
        </w:tcBorders>
      </w:tcPr>
    </w:tblStylePr>
  </w:style>
  <w:style w:type="table" w:styleId="725">
    <w:name w:val="Grid Table 7 Colorful - Accent 6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 w:fill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 w:fill="FFFFFF"/>
        <w:tcBorders>
          <w:left w:val="single" w:color="000000" w:sz="4" w:space="0" w:themeColor="accent6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fill="FFFFFF"/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none" w:color="000000" w:sz="4" w:space="0"/>
        </w:tcBorders>
      </w:tcPr>
    </w:tblStylePr>
  </w:style>
  <w:style w:type="table" w:styleId="726">
    <w:name w:val="List Table 1 Light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727">
    <w:name w:val="List Table 1 Light - Accent 1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728">
    <w:name w:val="List Table 1 Light - Accent 2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729">
    <w:name w:val="List Table 1 Light - Accent 3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730">
    <w:name w:val="List Table 1 Light - Accent 4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731">
    <w:name w:val="List Table 1 Light - Accent 5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732">
    <w:name w:val="List Table 1 Light - Accent 6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733">
    <w:name w:val="List Table 2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90"/>
        <w:bottom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</w:style>
  <w:style w:type="table" w:styleId="734">
    <w:name w:val="List Table 2 - Accent 1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</w:style>
  <w:style w:type="table" w:styleId="735">
    <w:name w:val="List Table 2 - Accent 2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</w:style>
  <w:style w:type="table" w:styleId="736">
    <w:name w:val="List Table 2 - Accent 3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</w:style>
  <w:style w:type="table" w:styleId="737">
    <w:name w:val="List Table 2 - Accent 4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</w:style>
  <w:style w:type="table" w:styleId="738">
    <w:name w:val="List Table 2 - Accent 5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</w:style>
  <w:style w:type="table" w:styleId="739">
    <w:name w:val="List Table 2 - Accent 6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</w:style>
  <w:style w:type="table" w:styleId="740">
    <w:name w:val="List Table 3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List Table 3 - Accent 1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/>
        <w:top w:val="single" w:color="000000" w:sz="4" w:space="0" w:themeColor="accent1"/>
        <w:right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1"/>
          <w:bottom w:val="single" w:color="000000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1"/>
          <w:right w:val="single" w:color="000000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List Table 3 - Accent 2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97"/>
          <w:right w:val="single" w:color="000000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List Table 3 - Accent 3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8"/>
        <w:top w:val="single" w:color="000000" w:sz="4" w:space="0" w:themeColor="accent3" w:themeTint="98"/>
        <w:right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3" w:themeTint="98"/>
          <w:bottom w:val="single" w:color="000000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98"/>
          <w:right w:val="single" w:color="000000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List Table 3 - Accent 4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9A"/>
          <w:right w:val="single" w:color="000000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List Table 3 - Accent 5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A"/>
        <w:top w:val="single" w:color="000000" w:sz="4" w:space="0" w:themeColor="accent5" w:themeTint="9A"/>
        <w:right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5" w:themeTint="9A"/>
          <w:bottom w:val="single" w:color="000000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9A"/>
          <w:right w:val="single" w:color="000000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List Table 3 - Accent 6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8"/>
        <w:top w:val="single" w:color="000000" w:sz="4" w:space="0" w:themeColor="accent6" w:themeTint="98"/>
        <w:right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6" w:themeTint="98"/>
          <w:bottom w:val="single" w:color="00000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98"/>
          <w:right w:val="single" w:color="00000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List Table 4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List Table 4 - Accent 1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>
    <w:name w:val="List Table 4 - Accent 2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List Table 4 - Accent 3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>
    <w:name w:val="List Table 4 - Accent 4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>
    <w:name w:val="List Table 4 - Accent 5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>
    <w:name w:val="List Table 4 - Accent 6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>
    <w:name w:val="List Table 5 Dark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text1" w:themeTint="80"/>
        <w:top w:val="single" w:color="000000" w:sz="32" w:space="0" w:themeColor="text1" w:themeTint="80"/>
        <w:right w:val="single" w:color="000000" w:sz="32" w:space="0" w:themeColor="text1" w:themeTint="80"/>
        <w:bottom w:val="single" w:color="000000" w:sz="32" w:space="0" w:themeColor="text1" w:themeTint="80"/>
      </w:tblBorders>
      <w:shd w:val="clear" w:color="FFFFFF" w:fill="FFFFFF"/>
    </w:tblPr>
    <w:tblStylePr w:type="band1Horz">
      <w:tcPr>
        <w:shd w:val="clear" w:color="FFFFFF" w:fill="FFFFFF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fill="FFFFFF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fill="FFFFFF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text1" w:themeTint="80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fill="FFFFFF"/>
        <w:tcBorders>
          <w:top w:val="single" w:color="000000" w:sz="32" w:space="0" w:themeColor="text1" w:themeTint="80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5">
    <w:name w:val="List Table 5 Dark - Accent 1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1"/>
        <w:top w:val="single" w:color="000000" w:sz="32" w:space="0" w:themeColor="accent1"/>
        <w:right w:val="single" w:color="000000" w:sz="32" w:space="0" w:themeColor="accent1"/>
        <w:bottom w:val="single" w:color="000000" w:sz="32" w:space="0" w:themeColor="accent1"/>
      </w:tblBorders>
      <w:shd w:val="clear" w:color="FFFFFF" w:fill="FFFFFF"/>
    </w:tblPr>
    <w:tblStylePr w:type="band1Horz">
      <w:tcPr>
        <w:shd w:val="clear" w:color="FFFFFF" w:fill="FFFFFF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fill="FFFFFF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fill="FFFFFF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1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fill="FFFFFF"/>
        <w:tcBorders>
          <w:top w:val="single" w:color="000000" w:sz="32" w:space="0" w:themeColor="accent1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6">
    <w:name w:val="List Table 5 Dark - Accent 2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2" w:themeTint="97"/>
        <w:top w:val="single" w:color="000000" w:sz="32" w:space="0" w:themeColor="accent2" w:themeTint="97"/>
        <w:right w:val="single" w:color="000000" w:sz="32" w:space="0" w:themeColor="accent2" w:themeTint="97"/>
        <w:bottom w:val="single" w:color="000000" w:sz="32" w:space="0" w:themeColor="accent2" w:themeTint="97"/>
      </w:tblBorders>
      <w:shd w:val="clear" w:color="FFFFFF" w:fill="FFFFFF"/>
    </w:tblPr>
    <w:tblStylePr w:type="band1Horz">
      <w:tcPr>
        <w:shd w:val="clear" w:color="FFFFFF" w:fill="FFFFFF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fill="FFFFFF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fill="FFFFFF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2" w:themeTint="97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fill="FFFFFF"/>
        <w:tcBorders>
          <w:top w:val="single" w:color="000000" w:sz="32" w:space="0" w:themeColor="accent2" w:themeTint="97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7">
    <w:name w:val="List Table 5 Dark - Accent 3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3" w:themeTint="98"/>
        <w:top w:val="single" w:color="000000" w:sz="32" w:space="0" w:themeColor="accent3" w:themeTint="98"/>
        <w:right w:val="single" w:color="000000" w:sz="32" w:space="0" w:themeColor="accent3" w:themeTint="98"/>
        <w:bottom w:val="single" w:color="000000" w:sz="32" w:space="0" w:themeColor="accent3" w:themeTint="98"/>
      </w:tblBorders>
      <w:shd w:val="clear" w:color="FFFFFF" w:fill="FFFFFF"/>
    </w:tblPr>
    <w:tblStylePr w:type="band1Horz">
      <w:tcPr>
        <w:shd w:val="clear" w:color="FFFFFF" w:fill="FFFFFF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fill="FFFFFF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fill="FFFFFF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3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fill="FFFFFF"/>
        <w:tcBorders>
          <w:top w:val="single" w:color="000000" w:sz="32" w:space="0" w:themeColor="accent3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8">
    <w:name w:val="List Table 5 Dark - Accent 4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4" w:themeTint="9A"/>
        <w:top w:val="single" w:color="000000" w:sz="32" w:space="0" w:themeColor="accent4" w:themeTint="9A"/>
        <w:right w:val="single" w:color="000000" w:sz="32" w:space="0" w:themeColor="accent4" w:themeTint="9A"/>
        <w:bottom w:val="single" w:color="000000" w:sz="32" w:space="0" w:themeColor="accent4" w:themeTint="9A"/>
      </w:tblBorders>
      <w:shd w:val="clear" w:color="FFFFFF" w:fill="FFFFFF"/>
    </w:tblPr>
    <w:tblStylePr w:type="band1Horz">
      <w:tcPr>
        <w:shd w:val="clear" w:color="FFFFFF" w:fill="FFFFFF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fill="FFFFFF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fill="FFFFFF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4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fill="FFFFFF"/>
        <w:tcBorders>
          <w:top w:val="single" w:color="000000" w:sz="32" w:space="0" w:themeColor="accent4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9">
    <w:name w:val="List Table 5 Dark - Accent 5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5" w:themeTint="9A"/>
        <w:top w:val="single" w:color="000000" w:sz="32" w:space="0" w:themeColor="accent5" w:themeTint="9A"/>
        <w:right w:val="single" w:color="000000" w:sz="32" w:space="0" w:themeColor="accent5" w:themeTint="9A"/>
        <w:bottom w:val="single" w:color="000000" w:sz="32" w:space="0" w:themeColor="accent5" w:themeTint="9A"/>
      </w:tblBorders>
      <w:shd w:val="clear" w:color="FFFFFF" w:fill="FFFFFF"/>
    </w:tblPr>
    <w:tblStylePr w:type="band1Horz">
      <w:tcPr>
        <w:shd w:val="clear" w:color="FFFFFF" w:fill="FFFFFF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fill="FFFFFF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fill="FFFFFF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5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fill="FFFFFF"/>
        <w:tcBorders>
          <w:top w:val="single" w:color="000000" w:sz="32" w:space="0" w:themeColor="accent5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0">
    <w:name w:val="List Table 5 Dark - Accent 6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6" w:themeTint="98"/>
        <w:top w:val="single" w:color="000000" w:sz="32" w:space="0" w:themeColor="accent6" w:themeTint="98"/>
        <w:right w:val="single" w:color="000000" w:sz="32" w:space="0" w:themeColor="accent6" w:themeTint="98"/>
        <w:bottom w:val="single" w:color="000000" w:sz="32" w:space="0" w:themeColor="accent6" w:themeTint="98"/>
      </w:tblBorders>
      <w:shd w:val="clear" w:color="FFFFFF" w:fill="FFFFFF"/>
    </w:tblPr>
    <w:tblStylePr w:type="band1Horz">
      <w:tcPr>
        <w:shd w:val="clear" w:color="FFFFFF" w:fill="FFFFFF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fill="FFFFFF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fill="FFFFFF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6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fill="FFFFFF"/>
        <w:tcBorders>
          <w:top w:val="single" w:color="000000" w:sz="32" w:space="0" w:themeColor="accent6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1">
    <w:name w:val="List Table 6 Colorful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80"/>
        <w:bottom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sz="4" w:space="0" w:themeColor="text1" w:themeTint="80"/>
        </w:tcBorders>
      </w:tcPr>
    </w:tblStylePr>
  </w:style>
  <w:style w:type="table" w:styleId="762">
    <w:name w:val="List Table 6 Colorful - Accent 1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sz="4" w:space="0" w:themeColor="accent1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sz="4" w:space="0" w:themeColor="accent1"/>
        </w:tcBorders>
      </w:tcPr>
    </w:tblStylePr>
  </w:style>
  <w:style w:type="table" w:styleId="763">
    <w:name w:val="List Table 6 Colorful - Accent 2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sz="4" w:space="0" w:themeColor="accent2" w:themeTint="97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sz="4" w:space="0" w:themeColor="accent2" w:themeTint="97"/>
        </w:tcBorders>
      </w:tcPr>
    </w:tblStylePr>
  </w:style>
  <w:style w:type="table" w:styleId="764">
    <w:name w:val="List Table 6 Colorful - Accent 3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sz="4" w:space="0" w:themeColor="accent3" w:themeTint="98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sz="4" w:space="0" w:themeColor="accent3" w:themeTint="98"/>
        </w:tcBorders>
      </w:tcPr>
    </w:tblStylePr>
  </w:style>
  <w:style w:type="table" w:styleId="765">
    <w:name w:val="List Table 6 Colorful - Accent 4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sz="4" w:space="0" w:themeColor="accent4" w:themeTint="9A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sz="4" w:space="0" w:themeColor="accent4" w:themeTint="9A"/>
        </w:tcBorders>
      </w:tcPr>
    </w:tblStylePr>
  </w:style>
  <w:style w:type="table" w:styleId="766">
    <w:name w:val="List Table 6 Colorful - Accent 5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sz="4" w:space="0" w:themeColor="accent5" w:themeTint="9A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sz="4" w:space="0" w:themeColor="accent5" w:themeTint="9A"/>
        </w:tcBorders>
      </w:tcPr>
    </w:tblStylePr>
  </w:style>
  <w:style w:type="table" w:styleId="767">
    <w:name w:val="List Table 6 Colorful - Accent 6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sz="4" w:space="0" w:themeColor="accent6" w:themeTint="98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sz="4" w:space="0" w:themeColor="accent6" w:themeTint="98"/>
        </w:tcBorders>
      </w:tcPr>
    </w:tblStylePr>
  </w:style>
  <w:style w:type="table" w:styleId="768">
    <w:name w:val="List Table 7 Colorful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 w:fill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 w:fill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fill="FFFFFF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69">
    <w:name w:val="List Table 7 Colorful - Accent 1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 w:fill="FFFFFF"/>
        <w:tcBorders>
          <w:left w:val="none" w:color="000000" w:sz="4" w:space="0"/>
          <w:top w:val="none" w:color="000000" w:sz="4" w:space="0"/>
          <w:right w:val="single" w:color="000000" w:sz="4" w:space="0" w:themeColor="accent1"/>
          <w:bottom w:val="none" w:color="000000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 w:fill="FFFFFF"/>
        <w:tcBorders>
          <w:left w:val="single" w:color="000000" w:sz="4" w:space="0" w:themeColor="accent1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fill="FFFFFF"/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70">
    <w:name w:val="List Table 7 Colorful - Accent 2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 w:fill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fill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fill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71">
    <w:name w:val="List Table 7 Colorful - Accent 3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98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 w:fill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98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fill="FFFFFF"/>
        <w:tcBorders>
          <w:left w:val="single" w:color="000000" w:sz="4" w:space="0" w:themeColor="accent3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fill="FFFFFF"/>
        <w:tcBorders>
          <w:left w:val="none" w:color="000000" w:sz="4" w:space="0"/>
          <w:top w:val="single" w:color="000000" w:sz="4" w:space="0" w:themeColor="accent3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72">
    <w:name w:val="List Table 7 Colorful - Accent 4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 w:fill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fill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fill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73">
    <w:name w:val="List Table 7 Colorful - Accent 5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A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 w:fill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A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fill="FFFFFF"/>
        <w:tcBorders>
          <w:left w:val="single" w:color="000000" w:sz="4" w:space="0" w:themeColor="accent5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fill="FFFFFF"/>
        <w:tcBorders>
          <w:left w:val="none" w:color="000000" w:sz="4" w:space="0"/>
          <w:top w:val="single" w:color="000000" w:sz="4" w:space="0" w:themeColor="accent5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74">
    <w:name w:val="List Table 7 Colorful - Accent 6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8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 w:fill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8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fill="FFFFFF"/>
        <w:tcBorders>
          <w:left w:val="single" w:color="000000" w:sz="4" w:space="0" w:themeColor="accent6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fill="FFFFFF"/>
        <w:tcBorders>
          <w:left w:val="none" w:color="000000" w:sz="4" w:space="0"/>
          <w:top w:val="single" w:color="000000" w:sz="4" w:space="0" w:themeColor="accent6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75">
    <w:name w:val="Lined - Accent"/>
    <w:basedOn w:val="81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FFFF"/>
      </w:tcPr>
    </w:tblStylePr>
  </w:style>
  <w:style w:type="table" w:styleId="776">
    <w:name w:val="Lined - Accent 1"/>
    <w:basedOn w:val="81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FFFF"/>
      </w:tcPr>
    </w:tblStylePr>
  </w:style>
  <w:style w:type="table" w:styleId="777">
    <w:name w:val="Lined - Accent 2"/>
    <w:basedOn w:val="81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FFFF"/>
      </w:tcPr>
    </w:tblStylePr>
  </w:style>
  <w:style w:type="table" w:styleId="778">
    <w:name w:val="Lined - Accent 3"/>
    <w:basedOn w:val="81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FFFF"/>
      </w:tcPr>
    </w:tblStylePr>
  </w:style>
  <w:style w:type="table" w:styleId="779">
    <w:name w:val="Lined - Accent 4"/>
    <w:basedOn w:val="81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FFFF"/>
      </w:tcPr>
    </w:tblStylePr>
  </w:style>
  <w:style w:type="table" w:styleId="780">
    <w:name w:val="Lined - Accent 5"/>
    <w:basedOn w:val="81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FFFF"/>
      </w:tcPr>
    </w:tblStylePr>
  </w:style>
  <w:style w:type="table" w:styleId="781">
    <w:name w:val="Lined - Accent 6"/>
    <w:basedOn w:val="81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FFFF"/>
      </w:tcPr>
    </w:tblStylePr>
  </w:style>
  <w:style w:type="table" w:styleId="782">
    <w:name w:val="Bordered &amp; Lined - Accent"/>
    <w:basedOn w:val="81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A6"/>
        <w:top w:val="single" w:color="000000" w:sz="4" w:space="0" w:themeColor="text1" w:themeTint="A6"/>
        <w:right w:val="single" w:color="000000" w:sz="4" w:space="0" w:themeColor="text1" w:themeTint="A6"/>
        <w:bottom w:val="single" w:color="000000" w:sz="4" w:space="0" w:themeColor="text1" w:themeTint="A6"/>
        <w:insideV w:val="single" w:color="000000" w:sz="4" w:space="0" w:themeColor="text1" w:themeTint="A6"/>
        <w:insideH w:val="single" w:color="000000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FFFF"/>
      </w:tcPr>
    </w:tblStylePr>
  </w:style>
  <w:style w:type="table" w:styleId="783">
    <w:name w:val="Bordered &amp; Lined - Accent 1"/>
    <w:basedOn w:val="81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Shade="95"/>
        <w:top w:val="single" w:color="000000" w:sz="4" w:space="0" w:themeColor="accent1" w:themeShade="95"/>
        <w:right w:val="single" w:color="000000" w:sz="4" w:space="0" w:themeColor="accent1" w:themeShade="95"/>
        <w:bottom w:val="single" w:color="000000" w:sz="4" w:space="0" w:themeColor="accent1" w:themeShade="95"/>
        <w:insideV w:val="single" w:color="000000" w:sz="4" w:space="0" w:themeColor="accent1" w:themeShade="95"/>
        <w:insideH w:val="single" w:color="000000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FFFF"/>
      </w:tcPr>
    </w:tblStylePr>
  </w:style>
  <w:style w:type="table" w:styleId="784">
    <w:name w:val="Bordered &amp; Lined - Accent 2"/>
    <w:basedOn w:val="81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Shade="95"/>
        <w:top w:val="single" w:color="000000" w:sz="4" w:space="0" w:themeColor="accent2" w:themeShade="95"/>
        <w:right w:val="single" w:color="000000" w:sz="4" w:space="0" w:themeColor="accent2" w:themeShade="95"/>
        <w:bottom w:val="single" w:color="000000" w:sz="4" w:space="0" w:themeColor="accent2" w:themeShade="95"/>
        <w:insideV w:val="single" w:color="000000" w:sz="4" w:space="0" w:themeColor="accent2" w:themeShade="95"/>
        <w:insideH w:val="single" w:color="000000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FFFF"/>
      </w:tcPr>
    </w:tblStylePr>
  </w:style>
  <w:style w:type="table" w:styleId="785">
    <w:name w:val="Bordered &amp; Lined - Accent 3"/>
    <w:basedOn w:val="81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Shade="95"/>
        <w:top w:val="single" w:color="000000" w:sz="4" w:space="0" w:themeColor="accent3" w:themeShade="95"/>
        <w:right w:val="single" w:color="000000" w:sz="4" w:space="0" w:themeColor="accent3" w:themeShade="95"/>
        <w:bottom w:val="single" w:color="000000" w:sz="4" w:space="0" w:themeColor="accent3" w:themeShade="95"/>
        <w:insideV w:val="single" w:color="000000" w:sz="4" w:space="0" w:themeColor="accent3" w:themeShade="95"/>
        <w:insideH w:val="single" w:color="00000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FFFF"/>
      </w:tcPr>
    </w:tblStylePr>
  </w:style>
  <w:style w:type="table" w:styleId="786">
    <w:name w:val="Bordered &amp; Lined - Accent 4"/>
    <w:basedOn w:val="81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Shade="95"/>
        <w:top w:val="single" w:color="000000" w:sz="4" w:space="0" w:themeColor="accent4" w:themeShade="95"/>
        <w:right w:val="single" w:color="000000" w:sz="4" w:space="0" w:themeColor="accent4" w:themeShade="95"/>
        <w:bottom w:val="single" w:color="000000" w:sz="4" w:space="0" w:themeColor="accent4" w:themeShade="95"/>
        <w:insideV w:val="single" w:color="000000" w:sz="4" w:space="0" w:themeColor="accent4" w:themeShade="95"/>
        <w:insideH w:val="single" w:color="000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FFFF"/>
      </w:tcPr>
    </w:tblStylePr>
  </w:style>
  <w:style w:type="table" w:styleId="787">
    <w:name w:val="Bordered &amp; Lined - Accent 5"/>
    <w:basedOn w:val="81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Shade="95"/>
        <w:top w:val="single" w:color="000000" w:sz="4" w:space="0" w:themeColor="accent5" w:themeShade="95"/>
        <w:right w:val="single" w:color="000000" w:sz="4" w:space="0" w:themeColor="accent5" w:themeShade="95"/>
        <w:bottom w:val="single" w:color="000000" w:sz="4" w:space="0" w:themeColor="accent5" w:themeShade="95"/>
        <w:insideV w:val="single" w:color="000000" w:sz="4" w:space="0" w:themeColor="accent5" w:themeShade="95"/>
        <w:insideH w:val="single" w:color="000000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FFFF"/>
      </w:tcPr>
    </w:tblStylePr>
  </w:style>
  <w:style w:type="table" w:styleId="788">
    <w:name w:val="Bordered &amp; Lined - Accent 6"/>
    <w:basedOn w:val="81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Shade="95"/>
        <w:top w:val="single" w:color="000000" w:sz="4" w:space="0" w:themeColor="accent6" w:themeShade="95"/>
        <w:right w:val="single" w:color="000000" w:sz="4" w:space="0" w:themeColor="accent6" w:themeShade="95"/>
        <w:bottom w:val="single" w:color="000000" w:sz="4" w:space="0" w:themeColor="accent6" w:themeShade="95"/>
        <w:insideV w:val="single" w:color="000000" w:sz="4" w:space="0" w:themeColor="accent6" w:themeShade="95"/>
        <w:insideH w:val="single" w:color="000000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FFFF"/>
      </w:tcPr>
    </w:tblStylePr>
  </w:style>
  <w:style w:type="table" w:styleId="789">
    <w:name w:val="Bordered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26"/>
        <w:top w:val="single" w:color="000000" w:sz="4" w:space="0" w:themeColor="text1" w:themeTint="26"/>
        <w:right w:val="single" w:color="000000" w:sz="4" w:space="0" w:themeColor="text1" w:themeTint="26"/>
        <w:bottom w:val="single" w:color="000000" w:sz="4" w:space="0" w:themeColor="text1" w:themeTint="26"/>
        <w:insideV w:val="single" w:color="000000" w:sz="4" w:space="0" w:themeColor="text1" w:themeTint="26"/>
        <w:insideH w:val="single" w:color="000000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26"/>
          <w:top w:val="single" w:color="000000" w:sz="4" w:space="0" w:themeColor="text1" w:themeTint="26"/>
          <w:right w:val="single" w:color="000000" w:sz="4" w:space="0" w:themeColor="text1" w:themeTint="26"/>
          <w:bottom w:val="single" w:color="000000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text1" w:themeTint="80"/>
        </w:tcBorders>
      </w:tcPr>
    </w:tblStylePr>
  </w:style>
  <w:style w:type="table" w:styleId="790">
    <w:name w:val="Bordered - Accent 1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1"/>
        </w:tcBorders>
      </w:tcPr>
    </w:tblStylePr>
  </w:style>
  <w:style w:type="table" w:styleId="791">
    <w:name w:val="Bordered - Accent 2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2" w:themeTint="97"/>
        </w:tcBorders>
      </w:tcPr>
    </w:tblStylePr>
  </w:style>
  <w:style w:type="table" w:styleId="792">
    <w:name w:val="Bordered - Accent 3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3" w:themeTint="98"/>
        </w:tcBorders>
      </w:tcPr>
    </w:tblStylePr>
  </w:style>
  <w:style w:type="table" w:styleId="793">
    <w:name w:val="Bordered - Accent 4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4" w:themeTint="9A"/>
        </w:tcBorders>
      </w:tcPr>
    </w:tblStylePr>
  </w:style>
  <w:style w:type="table" w:styleId="794">
    <w:name w:val="Bordered - Accent 5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5" w:themeTint="9A"/>
        </w:tcBorders>
      </w:tcPr>
    </w:tblStylePr>
  </w:style>
  <w:style w:type="table" w:styleId="795">
    <w:name w:val="Bordered - Accent 6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6" w:themeTint="98"/>
        </w:tcBorders>
      </w:tcPr>
    </w:tblStylePr>
  </w:style>
  <w:style w:type="character" w:styleId="796">
    <w:name w:val="Hyperlink"/>
    <w:uiPriority w:val="99"/>
    <w:unhideWhenUsed/>
    <w:rPr>
      <w:color w:val="0000FF" w:themeColor="hyperlink"/>
      <w:u w:val="single"/>
    </w:rPr>
  </w:style>
  <w:style w:type="paragraph" w:styleId="797">
    <w:name w:val="footnote text"/>
    <w:basedOn w:val="814"/>
    <w:link w:val="798"/>
    <w:uiPriority w:val="99"/>
    <w:semiHidden/>
    <w:unhideWhenUsed/>
    <w:rPr>
      <w:sz w:val="18"/>
    </w:rPr>
    <w:pPr>
      <w:spacing w:lineRule="auto" w:line="240" w:after="40"/>
    </w:pPr>
  </w:style>
  <w:style w:type="character" w:styleId="798">
    <w:name w:val="Footnote Text Char"/>
    <w:link w:val="797"/>
    <w:uiPriority w:val="99"/>
    <w:rPr>
      <w:sz w:val="18"/>
    </w:rPr>
  </w:style>
  <w:style w:type="character" w:styleId="799">
    <w:name w:val="footnote reference"/>
    <w:uiPriority w:val="99"/>
    <w:unhideWhenUsed/>
    <w:rPr>
      <w:vertAlign w:val="superscript"/>
    </w:rPr>
  </w:style>
  <w:style w:type="paragraph" w:styleId="800">
    <w:name w:val="endnote text"/>
    <w:basedOn w:val="814"/>
    <w:link w:val="801"/>
    <w:uiPriority w:val="99"/>
    <w:semiHidden/>
    <w:unhideWhenUsed/>
    <w:rPr>
      <w:sz w:val="20"/>
    </w:rPr>
    <w:pPr>
      <w:spacing w:lineRule="auto" w:line="240" w:after="0"/>
    </w:pPr>
  </w:style>
  <w:style w:type="character" w:styleId="801">
    <w:name w:val="Endnote Text Char"/>
    <w:link w:val="800"/>
    <w:uiPriority w:val="99"/>
    <w:rPr>
      <w:sz w:val="20"/>
    </w:rPr>
  </w:style>
  <w:style w:type="character" w:styleId="802">
    <w:name w:val="endnote reference"/>
    <w:uiPriority w:val="99"/>
    <w:semiHidden/>
    <w:unhideWhenUsed/>
    <w:rPr>
      <w:vertAlign w:val="superscript"/>
    </w:rPr>
  </w:style>
  <w:style w:type="paragraph" w:styleId="803">
    <w:name w:val="toc 1"/>
    <w:basedOn w:val="814"/>
    <w:next w:val="814"/>
    <w:uiPriority w:val="39"/>
    <w:unhideWhenUsed/>
    <w:pPr>
      <w:ind w:left="0" w:right="0" w:firstLine="0"/>
      <w:spacing w:after="57"/>
    </w:pPr>
  </w:style>
  <w:style w:type="paragraph" w:styleId="804">
    <w:name w:val="toc 2"/>
    <w:basedOn w:val="814"/>
    <w:next w:val="814"/>
    <w:uiPriority w:val="39"/>
    <w:unhideWhenUsed/>
    <w:pPr>
      <w:ind w:left="283" w:right="0" w:firstLine="0"/>
      <w:spacing w:after="57"/>
    </w:pPr>
  </w:style>
  <w:style w:type="paragraph" w:styleId="805">
    <w:name w:val="toc 3"/>
    <w:basedOn w:val="814"/>
    <w:next w:val="814"/>
    <w:uiPriority w:val="39"/>
    <w:unhideWhenUsed/>
    <w:pPr>
      <w:ind w:left="567" w:right="0" w:firstLine="0"/>
      <w:spacing w:after="57"/>
    </w:pPr>
  </w:style>
  <w:style w:type="paragraph" w:styleId="806">
    <w:name w:val="toc 4"/>
    <w:basedOn w:val="814"/>
    <w:next w:val="814"/>
    <w:uiPriority w:val="39"/>
    <w:unhideWhenUsed/>
    <w:pPr>
      <w:ind w:left="850" w:right="0" w:firstLine="0"/>
      <w:spacing w:after="57"/>
    </w:pPr>
  </w:style>
  <w:style w:type="paragraph" w:styleId="807">
    <w:name w:val="toc 5"/>
    <w:basedOn w:val="814"/>
    <w:next w:val="814"/>
    <w:uiPriority w:val="39"/>
    <w:unhideWhenUsed/>
    <w:pPr>
      <w:ind w:left="1134" w:right="0" w:firstLine="0"/>
      <w:spacing w:after="57"/>
    </w:pPr>
  </w:style>
  <w:style w:type="paragraph" w:styleId="808">
    <w:name w:val="toc 6"/>
    <w:basedOn w:val="814"/>
    <w:next w:val="814"/>
    <w:uiPriority w:val="39"/>
    <w:unhideWhenUsed/>
    <w:pPr>
      <w:ind w:left="1417" w:right="0" w:firstLine="0"/>
      <w:spacing w:after="57"/>
    </w:pPr>
  </w:style>
  <w:style w:type="paragraph" w:styleId="809">
    <w:name w:val="toc 7"/>
    <w:basedOn w:val="814"/>
    <w:next w:val="814"/>
    <w:uiPriority w:val="39"/>
    <w:unhideWhenUsed/>
    <w:pPr>
      <w:ind w:left="1701" w:right="0" w:firstLine="0"/>
      <w:spacing w:after="57"/>
    </w:pPr>
  </w:style>
  <w:style w:type="paragraph" w:styleId="810">
    <w:name w:val="toc 8"/>
    <w:basedOn w:val="814"/>
    <w:next w:val="814"/>
    <w:uiPriority w:val="39"/>
    <w:unhideWhenUsed/>
    <w:pPr>
      <w:ind w:left="1984" w:right="0" w:firstLine="0"/>
      <w:spacing w:after="57"/>
    </w:pPr>
  </w:style>
  <w:style w:type="paragraph" w:styleId="811">
    <w:name w:val="toc 9"/>
    <w:basedOn w:val="814"/>
    <w:next w:val="814"/>
    <w:uiPriority w:val="39"/>
    <w:unhideWhenUsed/>
    <w:pPr>
      <w:ind w:left="2268" w:right="0" w:firstLine="0"/>
      <w:spacing w:after="57"/>
    </w:pPr>
  </w:style>
  <w:style w:type="paragraph" w:styleId="812">
    <w:name w:val="TOC Heading"/>
    <w:uiPriority w:val="39"/>
    <w:unhideWhenUsed/>
  </w:style>
  <w:style w:type="paragraph" w:styleId="813">
    <w:name w:val="table of figures"/>
    <w:basedOn w:val="814"/>
    <w:next w:val="814"/>
    <w:uiPriority w:val="99"/>
    <w:unhideWhenUsed/>
    <w:pPr>
      <w:spacing w:after="0" w:afterAutospacing="0"/>
    </w:pPr>
  </w:style>
  <w:style w:type="paragraph" w:styleId="814" w:default="1">
    <w:name w:val="Normal"/>
    <w:qFormat/>
  </w:style>
  <w:style w:type="table" w:styleId="81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16" w:default="1">
    <w:name w:val="No List"/>
    <w:uiPriority w:val="99"/>
    <w:semiHidden/>
    <w:unhideWhenUsed/>
  </w:style>
  <w:style w:type="paragraph" w:styleId="817">
    <w:name w:val="No Spacing"/>
    <w:basedOn w:val="814"/>
    <w:qFormat/>
    <w:uiPriority w:val="1"/>
    <w:pPr>
      <w:spacing w:lineRule="auto" w:line="240" w:after="0"/>
    </w:pPr>
  </w:style>
  <w:style w:type="paragraph" w:styleId="818">
    <w:name w:val="List Paragraph"/>
    <w:basedOn w:val="814"/>
    <w:qFormat/>
    <w:uiPriority w:val="34"/>
    <w:pPr>
      <w:contextualSpacing w:val="true"/>
      <w:ind w:left="720"/>
    </w:pPr>
  </w:style>
  <w:style w:type="character" w:styleId="819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Relationship Id="rId10" Type="http://schemas.openxmlformats.org/officeDocument/2006/relationships/hyperlink" Target="https://creativecommons.org/licenses/by-sa/4.0/deed.de" TargetMode="External"/><Relationship Id="rId11" Type="http://schemas.openxmlformats.org/officeDocument/2006/relationships/image" Target="media/image1.png"/><Relationship Id="rId12" Type="http://schemas.openxmlformats.org/officeDocument/2006/relationships/image" Target="media/image2.png"/><Relationship Id="rId13" Type="http://schemas.openxmlformats.org/officeDocument/2006/relationships/hyperlink" Target="http://www.creativecommons.org" TargetMode="External"/><Relationship Id="rId14" Type="http://schemas.openxmlformats.org/officeDocument/2006/relationships/hyperlink" Target="https://opencontent.org/blog/archives/3221" TargetMode="External"/><Relationship Id="rId15" Type="http://schemas.openxmlformats.org/officeDocument/2006/relationships/hyperlink" Target="https://open-educational-resources.de/5rs-auf-deutsch/" TargetMode="External"/><Relationship Id="rId16" Type="http://schemas.openxmlformats.org/officeDocument/2006/relationships/image" Target="media/image3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nlyoffice.com/settingsCustom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ONLYOFFICE/6.3.1.32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Hochschule #02 O E R – FREIE BILDUNGSRESSOURCEN</dc:title>
  <dc:subject/>
  <dc:creator>Maria Haas</dc:creator>
  <dc:description/>
  <cp:lastModifiedBy>Valgoi, Elisabetta (e.valgoi@tugraz.at)</cp:lastModifiedBy>
  <cp:revision>9</cp:revision>
  <dcterms:modified xsi:type="dcterms:W3CDTF">2021-07-22T08:32:33Z</dcterms:modified>
</cp:coreProperties>
</file>