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8"/>
        <w:contextualSpacing w:val="false"/>
        <w:jc w:val="left"/>
        <w:spacing w:lineRule="auto" w:line="276" w:after="198" w:before="200"/>
        <w:rPr>
          <w:b/>
        </w:rPr>
        <w:suppressLineNumbers w:val="0"/>
      </w:pPr>
      <w:r>
        <w:rPr>
          <w:b/>
        </w:rPr>
      </w:r>
      <w:r>
        <w:rPr>
          <w:b/>
        </w:rPr>
        <w:t xml:space="preserve">Hochschule </w:t>
      </w:r>
      <w:r>
        <w:rPr>
          <w:b/>
        </w:rPr>
        <w:t xml:space="preserve">#03 Virtuelle Lehre an der Technischen </w:t>
      </w:r>
      <w:r>
        <w:rPr>
          <w:b/>
        </w:rPr>
        <w:t xml:space="preserve">Universität Graz</w:t>
      </w:r>
      <w:r>
        <w:rPr>
          <w:b/>
        </w:rPr>
      </w:r>
      <w:r/>
    </w:p>
    <w:p>
      <w:pPr>
        <w:pStyle w:val="638"/>
        <w:contextualSpacing w:val="false"/>
        <w:jc w:val="left"/>
        <w:spacing w:lineRule="auto" w:line="276" w:after="198" w:before="200"/>
        <w:rPr>
          <w:b/>
        </w:rPr>
        <w:suppressLineNumbers w:val="0"/>
      </w:pPr>
      <w:r>
        <w:rPr>
          <w:b/>
        </w:rPr>
        <w:t xml:space="preserve">Richtlinie des Rektorats und des Senats</w:t>
      </w:r>
      <w:r>
        <w:rPr>
          <w:b/>
        </w:rPr>
      </w:r>
      <w:r/>
    </w:p>
    <w:tbl>
      <w:tblPr>
        <w:tblStyle w:val="672"/>
        <w:tblW w:w="0" w:type="auto"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/>
                <w:color w:val="000000"/>
                <w:spacing w:val="0"/>
                <w:sz w:val="24"/>
                <w:highlight w:val="none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Autor:innen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 w:val="false"/>
                <w:spacing w:val="0"/>
                <w:sz w:val="24"/>
              </w:rPr>
              <w:suppressLineNumbers w:val="0"/>
            </w:pPr>
            <w:r>
              <w:rPr>
                <w:b w:val="false"/>
                <w:spacing w:val="0"/>
                <w:sz w:val="24"/>
              </w:rPr>
            </w:r>
            <w:r>
              <w:rPr>
                <w:b w:val="false"/>
                <w:spacing w:val="0"/>
                <w:sz w:val="24"/>
              </w:rPr>
              <w:t xml:space="preserve">Martin Ebner</w:t>
            </w:r>
            <w:r>
              <w:rPr>
                <w:b w:val="false"/>
                <w:spacing w:val="0"/>
                <w:sz w:val="24"/>
              </w:rPr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/>
                <w:color w:val="000000"/>
                <w:spacing w:val="0"/>
                <w:sz w:val="24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Veröffentlichung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 w:val="false"/>
                <w:spacing w:val="0"/>
                <w:sz w:val="24"/>
              </w:rPr>
              <w:suppressLineNumbers w:val="0"/>
            </w:pPr>
            <w:r>
              <w:rPr>
                <w:b w:val="false"/>
                <w:spacing w:val="0"/>
                <w:sz w:val="24"/>
              </w:rPr>
            </w:r>
            <w:r>
              <w:rPr>
                <w:b w:val="false"/>
                <w:spacing w:val="0"/>
                <w:sz w:val="24"/>
              </w:rPr>
              <w:t xml:space="preserve">September 2019</w:t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/>
                <w:color w:val="000000"/>
                <w:spacing w:val="0"/>
                <w:sz w:val="24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Lizenz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ind w:left="0" w:right="0" w:firstLine="0"/>
              <w:jc w:val="left"/>
              <w:spacing w:lineRule="auto" w:line="276" w:after="198" w:before="200"/>
              <w:rPr>
                <w:b w:val="false"/>
                <w:spacing w:val="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  <w:suppressLineNumbers w:val="0"/>
            </w:pPr>
            <w:r>
              <w:rPr>
                <w:b w:val="false"/>
                <w:spacing w:val="0"/>
                <w:sz w:val="24"/>
              </w:rPr>
            </w:r>
            <w:r>
              <w:rPr>
                <w:b w:val="false"/>
                <w:spacing w:val="0"/>
                <w:sz w:val="24"/>
              </w:rPr>
              <w:t xml:space="preserve">Lizenziert unter der </w:t>
            </w:r>
            <w:hyperlink r:id="rId10" w:tooltip="CC BY-SA 4.0" w:history="1">
              <w:r>
                <w:rPr>
                  <w:rStyle w:val="796"/>
                  <w:b w:val="false"/>
                  <w:spacing w:val="0"/>
                  <w:sz w:val="24"/>
                </w:rPr>
                <w:t xml:space="preserve">Creative-Commons-Lizenz CC BY-SA 4.0</w:t>
              </w:r>
            </w:hyperlink>
            <w:r>
              <w:rPr>
                <w:sz w:val="24"/>
              </w:rPr>
            </w:r>
            <w:r/>
          </w:p>
        </w:tc>
      </w:tr>
    </w:tbl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</w:r>
      <w:r>
        <w:rPr>
          <w:b/>
          <w:sz w:val="34"/>
          <w:highlight w:val="none"/>
        </w:rPr>
        <w:t xml:space="preserve">Definition von „Virtueller Lehre“</w:t>
      </w:r>
      <w:r>
        <w:rPr>
          <w:b/>
          <w:sz w:val="34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w:t xml:space="preserve">Es gibt eine Vielzahl von digitalen Lehr- und </w:t>
      </w:r>
      <w:r>
        <w:rPr>
          <w:sz w:val="24"/>
          <w:highlight w:val="none"/>
        </w:rPr>
        <w:t xml:space="preserve">Lernelementen bzw. -formaten. Darüber hinaus </w:t>
      </w:r>
      <w:r>
        <w:rPr>
          <w:sz w:val="24"/>
          <w:highlight w:val="none"/>
        </w:rPr>
        <w:t xml:space="preserve">erlaubt das Internet die Teilhabeform der </w:t>
      </w:r>
      <w:r>
        <w:rPr>
          <w:sz w:val="24"/>
          <w:highlight w:val="none"/>
        </w:rPr>
        <w:t xml:space="preserve">„virtuellen Präsenz“ in Lehrveranstaltungen, die </w:t>
      </w:r>
      <w:r>
        <w:rPr>
          <w:sz w:val="24"/>
          <w:highlight w:val="none"/>
        </w:rPr>
        <w:t xml:space="preserve">im Unterschied zur „realen Präsenz“ vermittelt </w:t>
      </w:r>
      <w:r>
        <w:rPr>
          <w:sz w:val="24"/>
          <w:highlight w:val="none"/>
        </w:rPr>
        <w:t xml:space="preserve">und daher nicht direkt ist, sich aber durch </w:t>
      </w:r>
      <w:r>
        <w:rPr>
          <w:sz w:val="24"/>
          <w:highlight w:val="none"/>
        </w:rPr>
        <w:t xml:space="preserve">aktive Lehrtätigkeit auszeichnet. Virtuelle Lehre </w:t>
      </w:r>
      <w:r>
        <w:rPr>
          <w:sz w:val="24"/>
          <w:highlight w:val="none"/>
        </w:rPr>
        <w:t xml:space="preserve">umfasst demnach sämtliche Ausprägungen von </w:t>
      </w:r>
      <w:r>
        <w:rPr>
          <w:sz w:val="24"/>
          <w:highlight w:val="none"/>
        </w:rPr>
        <w:t xml:space="preserve">textueller bzw. audiovisueller virtueller Präsenz </w:t>
      </w:r>
      <w:r>
        <w:rPr>
          <w:sz w:val="24"/>
          <w:highlight w:val="none"/>
        </w:rPr>
        <w:t xml:space="preserve">in Form von synchroner, also unmittelbarer </w:t>
      </w:r>
      <w:r>
        <w:rPr>
          <w:sz w:val="24"/>
          <w:highlight w:val="none"/>
        </w:rPr>
        <w:t xml:space="preserve">Interaktionsmöglichkeit, als auch asynchroner, </w:t>
      </w:r>
      <w:r>
        <w:rPr>
          <w:sz w:val="24"/>
          <w:highlight w:val="none"/>
        </w:rPr>
        <w:t xml:space="preserve">also zeitversetzter Interaktionsmöglichkeit. Bei </w:t>
      </w:r>
      <w:r>
        <w:rPr>
          <w:sz w:val="24"/>
          <w:highlight w:val="none"/>
        </w:rPr>
        <w:t xml:space="preserve">der Verwendung des Begriffs der Präsenz oder </w:t>
      </w:r>
      <w:r>
        <w:rPr>
          <w:sz w:val="24"/>
          <w:highlight w:val="none"/>
        </w:rPr>
        <w:t xml:space="preserve">Präsenzlehre, handelt es sich im Kontext der </w:t>
      </w:r>
      <w:r>
        <w:rPr>
          <w:sz w:val="24"/>
          <w:highlight w:val="none"/>
        </w:rPr>
        <w:t xml:space="preserve">Sammelmappe ausschließlich um reale Präsenz </w:t>
      </w:r>
      <w:r>
        <w:rPr>
          <w:sz w:val="24"/>
          <w:highlight w:val="none"/>
        </w:rPr>
        <w:t xml:space="preserve">- der virtuelle Anteil wird mit virtueller Lehre </w:t>
      </w:r>
      <w:r>
        <w:rPr>
          <w:sz w:val="24"/>
          <w:highlight w:val="none"/>
        </w:rPr>
        <w:t xml:space="preserve">umschrieben.</w:t>
      </w:r>
      <w:r>
        <w:rPr>
          <w:sz w:val="24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</w:r>
      <w:r>
        <w:rPr>
          <w:sz w:val="24"/>
          <w:highlight w:val="none"/>
        </w:rPr>
        <w:t xml:space="preserve">Info:</w:t>
      </w:r>
      <w:r>
        <w:rPr>
          <w:sz w:val="24"/>
          <w:highlight w:val="none"/>
        </w:rPr>
        <w:t xml:space="preserve"> </w:t>
      </w:r>
      <w:r>
        <w:rPr>
          <w:sz w:val="24"/>
          <w:highlight w:val="none"/>
        </w:rPr>
        <w:t xml:space="preserve">Die Richtlinie wurde am 04.04.2017 </w:t>
      </w:r>
      <w:r>
        <w:rPr>
          <w:sz w:val="24"/>
          <w:highlight w:val="none"/>
        </w:rPr>
        <w:t xml:space="preserve">durch einen Senats- und Rektoratsbeschluss </w:t>
      </w:r>
      <w:r>
        <w:rPr>
          <w:sz w:val="24"/>
          <w:highlight w:val="none"/>
        </w:rPr>
        <w:t xml:space="preserve">freigegeben. Sie wurde </w:t>
      </w:r>
      <w:r>
        <w:rPr>
          <w:sz w:val="24"/>
          <w:highlight w:val="none"/>
        </w:rPr>
        <w:t xml:space="preserve">von der Arbeitsgruppe Fernstudieneinheiten </w:t>
      </w:r>
      <w:r>
        <w:rPr>
          <w:sz w:val="24"/>
          <w:highlight w:val="none"/>
        </w:rPr>
        <w:t xml:space="preserve">erarbeitet. </w:t>
      </w:r>
      <w:r>
        <w:rPr>
          <w:sz w:val="24"/>
          <w:highlight w:val="none"/>
        </w:rPr>
        <w:t xml:space="preserve">Mitglieder der Arbeitsgruppe Fernstudieneinheiten: </w:t>
      </w:r>
      <w:r>
        <w:rPr>
          <w:sz w:val="24"/>
          <w:highlight w:val="none"/>
        </w:rPr>
        <w:t xml:space="preserve">M. Ebner, E. Grün, </w:t>
      </w:r>
      <w:r>
        <w:rPr>
          <w:sz w:val="24"/>
          <w:highlight w:val="none"/>
        </w:rPr>
        <w:t xml:space="preserve">N. Hafner, D. Heck, T. Hell, E. Krall, A. </w:t>
      </w:r>
      <w:r>
        <w:rPr>
          <w:sz w:val="24"/>
          <w:highlight w:val="none"/>
        </w:rPr>
        <w:t xml:space="preserve">M. Moisi, P. Pranter, R. Schröcker, T. </w:t>
      </w:r>
      <w:r>
        <w:rPr>
          <w:sz w:val="24"/>
          <w:highlight w:val="none"/>
        </w:rPr>
        <w:t xml:space="preserve">Wrodnigg, R. Würschum. </w:t>
      </w:r>
      <w:r>
        <w:rPr>
          <w:sz w:val="24"/>
          <w:highlight w:val="none"/>
        </w:rPr>
        <w:t xml:space="preserve">Prozessverantwortlicher: Viz</w:t>
      </w:r>
      <w:r>
        <w:rPr>
          <w:sz w:val="24"/>
          <w:highlight w:val="none"/>
        </w:rPr>
        <w:t xml:space="preserve">erektor </w:t>
      </w:r>
      <w:r>
        <w:rPr>
          <w:sz w:val="24"/>
          <w:highlight w:val="none"/>
        </w:rPr>
        <w:t xml:space="preserve">für Lehre. </w:t>
      </w:r>
      <w:r>
        <w:rPr>
          <w:sz w:val="24"/>
          <w:highlight w:val="none"/>
        </w:rPr>
        <w:t xml:space="preserve">Ansprechpartner: </w:t>
      </w:r>
      <w:r>
        <w:rPr>
          <w:sz w:val="24"/>
          <w:highlight w:val="none"/>
        </w:rPr>
        <w:t xml:space="preserve">Organisationseinheit </w:t>
      </w:r>
      <w:r>
        <w:rPr>
          <w:sz w:val="24"/>
          <w:highlight w:val="none"/>
        </w:rPr>
        <w:t xml:space="preserve">Lehr- und Lerntechnologien</w:t>
      </w:r>
      <w:r>
        <w:rPr>
          <w:sz w:val="24"/>
          <w:highlight w:val="none"/>
        </w:rPr>
        <w:t xml:space="preserve">.</w:t>
      </w:r>
      <w:r>
        <w:rPr>
          <w:sz w:val="24"/>
          <w:highlight w:val="none"/>
        </w:rPr>
      </w:r>
      <w:r/>
    </w:p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  <w:t xml:space="preserve">Das Drei-Säulen-Modell für die Virtuelle </w:t>
      </w:r>
      <w:r>
        <w:rPr>
          <w:b/>
          <w:sz w:val="34"/>
          <w:highlight w:val="none"/>
        </w:rPr>
      </w:r>
      <w:r/>
    </w:p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  <w:t xml:space="preserve">Lehre an der T U Graz</w:t>
      </w:r>
      <w:r>
        <w:rPr>
          <w:b/>
          <w:sz w:val="34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sz w:val="24"/>
          <w:highlight w:val="none"/>
        </w:rPr>
        <w:t xml:space="preserve">Um Virtuelle Lehre an der T U Graz nachhaltig zu verankern, wird in der </w:t>
      </w:r>
      <w:r>
        <w:rPr>
          <w:sz w:val="24"/>
          <w:highlight w:val="none"/>
        </w:rPr>
        <w:t xml:space="preserve">Richtlinie ein Drei-Säulen-Modell vorgeschlagen:</w:t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sz w:val="30"/>
          <w:highlight w:val="none"/>
        </w:rPr>
        <w:suppressLineNumbers w:val="0"/>
      </w:pPr>
      <w:r>
        <w:rPr>
          <w:b/>
          <w:sz w:val="30"/>
          <w:highlight w:val="none"/>
        </w:rPr>
        <w:t xml:space="preserve">Säule A: </w:t>
      </w:r>
      <w:r>
        <w:rPr>
          <w:b/>
          <w:sz w:val="30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w:t xml:space="preserve">Der Einsatz von digitalen Lehr- und Lernelementen bzw. -formaten </w:t>
      </w:r>
      <w:r>
        <w:rPr>
          <w:sz w:val="24"/>
          <w:highlight w:val="none"/>
        </w:rPr>
        <w:t xml:space="preserve">ist als didaktisches Mittel zur Anreicherung der Präsenzlehre immer </w:t>
      </w:r>
      <w:r>
        <w:rPr>
          <w:sz w:val="24"/>
          <w:highlight w:val="none"/>
        </w:rPr>
        <w:t xml:space="preserve">möglich.</w:t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sz w:val="30"/>
          <w:highlight w:val="none"/>
        </w:rPr>
        <w:suppressLineNumbers w:val="0"/>
      </w:pPr>
      <w:r>
        <w:rPr>
          <w:b/>
          <w:sz w:val="30"/>
          <w:highlight w:val="none"/>
        </w:rPr>
        <w:t xml:space="preserve">Säule B: </w:t>
      </w:r>
      <w:r>
        <w:rPr>
          <w:b/>
          <w:sz w:val="30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color w:val="FF0000"/>
          <w:sz w:val="24"/>
          <w:highlight w:val="none"/>
        </w:rPr>
        <w:suppressLineNumbers w:val="0"/>
      </w:pPr>
      <w:r>
        <w:rPr>
          <w:sz w:val="24"/>
          <w:highlight w:val="none"/>
        </w:rPr>
        <w:t xml:space="preserve">Virtuelle Lehre als didaktisches Mittel im Rahmen von Vorlesungen </w:t>
      </w:r>
      <w:r>
        <w:rPr>
          <w:sz w:val="24"/>
          <w:highlight w:val="none"/>
        </w:rPr>
        <w:t xml:space="preserve">oder dem Vorlesungs</w:t>
      </w:r>
      <w:r>
        <w:rPr>
          <w:sz w:val="24"/>
          <w:highlight w:val="none"/>
        </w:rPr>
        <w:t xml:space="preserve">teil</w:t>
      </w:r>
      <w:r>
        <w:rPr>
          <w:sz w:val="24"/>
          <w:highlight w:val="none"/>
        </w:rPr>
        <w:t xml:space="preserve"> einer </w:t>
      </w:r>
      <w:r>
        <w:rPr>
          <w:sz w:val="24"/>
          <w:highlight w:val="none"/>
        </w:rPr>
        <w:t xml:space="preserve">Vorlesung mit Übung </w:t>
      </w:r>
      <w:r>
        <w:rPr>
          <w:sz w:val="24"/>
          <w:highlight w:val="none"/>
        </w:rPr>
        <w:t xml:space="preserve">ist bis zu einem Sch</w:t>
      </w:r>
      <w:r>
        <w:rPr>
          <w:sz w:val="24"/>
          <w:highlight w:val="none"/>
        </w:rPr>
        <w:t xml:space="preserve">wellwert von </w:t>
      </w:r>
      <w:r>
        <w:rPr>
          <w:sz w:val="24"/>
          <w:highlight w:val="none"/>
        </w:rPr>
        <w:t xml:space="preserve">20% der abzuhaltenden </w:t>
      </w:r>
      <w:r>
        <w:rPr>
          <w:sz w:val="24"/>
          <w:highlight w:val="none"/>
        </w:rPr>
        <w:t xml:space="preserve">Semesterstunden </w:t>
      </w:r>
      <w:r>
        <w:rPr>
          <w:sz w:val="24"/>
          <w:highlight w:val="none"/>
        </w:rPr>
        <w:t xml:space="preserve">durch </w:t>
      </w:r>
      <w:r>
        <w:rPr>
          <w:sz w:val="24"/>
          <w:highlight w:val="none"/>
        </w:rPr>
        <w:t xml:space="preserve">die Lehrenden frei umsetzbar.</w:t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sz w:val="30"/>
          <w:highlight w:val="none"/>
        </w:rPr>
        <w:suppressLineNumbers w:val="0"/>
      </w:pPr>
      <w:r>
        <w:rPr>
          <w:b/>
          <w:sz w:val="30"/>
          <w:highlight w:val="none"/>
        </w:rPr>
        <w:t xml:space="preserve">Säule C: </w:t>
      </w:r>
      <w:r>
        <w:rPr>
          <w:b/>
          <w:sz w:val="30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w:t xml:space="preserve">In sämtlichen anderen Fällen ist der Anteil der virtuellen </w:t>
      </w:r>
      <w:r>
        <w:rPr>
          <w:sz w:val="24"/>
          <w:highlight w:val="none"/>
        </w:rPr>
        <w:t xml:space="preserve">Lehre durch die Arbeitsgruppe Studienkommission und die </w:t>
      </w:r>
      <w:r>
        <w:rPr>
          <w:sz w:val="24"/>
          <w:highlight w:val="none"/>
        </w:rPr>
        <w:t xml:space="preserve">Curricula-Kommission für Bachelor-, Master- und Diplomstudien </w:t>
      </w:r>
      <w:r>
        <w:rPr>
          <w:sz w:val="24"/>
          <w:highlight w:val="none"/>
        </w:rPr>
        <w:t xml:space="preserve">beziehungsweise</w:t>
      </w:r>
      <w:r>
        <w:rPr>
          <w:sz w:val="24"/>
          <w:highlight w:val="none"/>
        </w:rPr>
        <w:t xml:space="preserve"> die Curricula-Kommission für Doktoratsstudien und </w:t>
      </w:r>
      <w:r>
        <w:rPr>
          <w:sz w:val="24"/>
          <w:highlight w:val="none"/>
        </w:rPr>
        <w:t xml:space="preserve">Universitätslehrgänge zu genehmigen und entsprechend im </w:t>
      </w:r>
      <w:r>
        <w:rPr>
          <w:sz w:val="24"/>
          <w:highlight w:val="none"/>
        </w:rPr>
        <w:t xml:space="preserve">Curriculum zu verankern.</w:t>
      </w:r>
      <w:r>
        <w:rPr>
          <w:sz w:val="24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w:t xml:space="preserve">Für alle drei Säulen gilt in jedem Fall, dass der Anteil der </w:t>
      </w:r>
      <w:r>
        <w:rPr>
          <w:sz w:val="24"/>
          <w:highlight w:val="none"/>
        </w:rPr>
        <w:t xml:space="preserve">Kontaktstunden zwischen den Lehrenden und den Studierenden im </w:t>
      </w:r>
      <w:r>
        <w:rPr>
          <w:sz w:val="24"/>
          <w:highlight w:val="none"/>
        </w:rPr>
        <w:t xml:space="preserve">beauftragten Ausmaß gegeben sein muss.</w:t>
      </w:r>
      <w:r>
        <w:rPr>
          <w:sz w:val="24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sz w:val="24"/>
          <w:highlight w:val="none"/>
        </w:rPr>
        <w:t xml:space="preserve">Die jeweiligen Details der drei Säulen entnehmen Sie bitte der </w:t>
      </w:r>
      <w:r>
        <w:rPr>
          <w:sz w:val="24"/>
          <w:highlight w:val="none"/>
        </w:rPr>
        <w:t xml:space="preserve">offiziellen Aussendung des </w:t>
      </w:r>
      <w:r>
        <w:rPr>
          <w:sz w:val="24"/>
          <w:highlight w:val="none"/>
        </w:rPr>
        <w:t xml:space="preserve">Vizerektorat für Lehre</w:t>
      </w:r>
      <w:r>
        <w:rPr>
          <w:sz w:val="24"/>
          <w:highlight w:val="none"/>
        </w:rPr>
        <w:t xml:space="preserve"> unter folgendem </w:t>
      </w:r>
      <w:r>
        <w:rPr>
          <w:sz w:val="24"/>
          <w:highlight w:val="none"/>
        </w:rPr>
      </w:r>
      <w:hyperlink r:id="rId11" w:tooltip="Link zur offiziellen Aussendung des Vizerektorat für Lehre" w:history="1">
        <w:r>
          <w:rPr>
            <w:rStyle w:val="796"/>
            <w:sz w:val="24"/>
            <w:highlight w:val="none"/>
          </w:rPr>
          <w:t xml:space="preserve">Link zur offiziellen Aussendung des Vizerektorat für Lehre</w:t>
        </w:r>
      </w:hyperlink>
      <w:r/>
      <w:r/>
    </w:p>
    <w:p>
      <w:pPr>
        <w:pStyle w:val="640"/>
        <w:contextualSpacing w:val="false"/>
        <w:jc w:val="left"/>
        <w:spacing w:lineRule="auto" w:line="276" w:after="198" w:before="200"/>
        <w:rPr>
          <w:b w:val="false"/>
          <w:sz w:val="30"/>
          <w:highlight w:val="none"/>
        </w:rPr>
        <w:suppressLineNumbers w:val="0"/>
      </w:pPr>
      <w:r>
        <w:rPr>
          <w:b/>
          <w:sz w:val="30"/>
        </w:rPr>
      </w:r>
      <w:r>
        <w:rPr>
          <w:b/>
          <w:sz w:val="30"/>
          <w:highlight w:val="none"/>
          <w:lang w:val="en-GB"/>
        </w:rPr>
        <w:t xml:space="preserve">“</w:t>
      </w:r>
      <w:r>
        <w:rPr>
          <w:b/>
          <w:sz w:val="30"/>
          <w:highlight w:val="none"/>
          <w:lang w:val="en-GB"/>
        </w:rPr>
        <w:t xml:space="preserve">TEACHERS AND PROFESSORS NEED TO INTEGRATE TECHNOLOGY </w:t>
      </w:r>
      <w:r>
        <w:rPr>
          <w:b/>
          <w:sz w:val="30"/>
          <w:highlight w:val="none"/>
          <w:lang w:val="en-GB"/>
        </w:rPr>
        <w:t xml:space="preserve">SEAMLESSLY INTO THE CURRICULUM INSTEAD OF VIEWING </w:t>
      </w:r>
      <w:r>
        <w:rPr>
          <w:b/>
          <w:sz w:val="30"/>
          <w:highlight w:val="none"/>
          <w:lang w:val="en-GB"/>
        </w:rPr>
        <w:t xml:space="preserve">IT AS AN ADD-ON, AN AFTERTHOUGHT, OR AN EVENT</w:t>
      </w:r>
      <w:r>
        <w:rPr>
          <w:b/>
          <w:sz w:val="30"/>
          <w:highlight w:val="none"/>
          <w:lang w:val="en-GB"/>
        </w:rPr>
        <w:t xml:space="preserve">.” </w:t>
      </w:r>
      <w:r>
        <w:rPr>
          <w:b w:val="false"/>
          <w:sz w:val="30"/>
          <w:highlight w:val="none"/>
          <w:lang w:val="en-GB"/>
        </w:rPr>
        <w:t xml:space="preserve">Heidi-Hayes Jacobs, Curriculum Designer, Columbia University </w:t>
      </w:r>
      <w:r>
        <w:rPr>
          <w:b w:val="false"/>
          <w:sz w:val="30"/>
          <w:highlight w:val="none"/>
          <w:lang w:val="en-GB"/>
        </w:rPr>
        <w:t xml:space="preserve">New York.</w:t>
      </w:r>
      <w:r>
        <w:rPr>
          <w:b w:val="false"/>
          <w:sz w:val="30"/>
          <w:highlight w:val="none"/>
        </w:rPr>
      </w:r>
      <w:r/>
    </w:p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  <w:t xml:space="preserve">Drei Säulen für die </w:t>
      </w:r>
      <w:r>
        <w:rPr>
          <w:b/>
          <w:sz w:val="34"/>
          <w:highlight w:val="none"/>
        </w:rPr>
        <w:t xml:space="preserve">online-gestützte Lehre</w:t>
      </w:r>
      <w:r>
        <w:rPr>
          <w:b/>
          <w:sz w:val="34"/>
          <w:highlight w:val="none"/>
        </w:rPr>
      </w:r>
      <w:r/>
    </w:p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  <w:t xml:space="preserve">Säule A</w:t>
      </w:r>
      <w:r>
        <w:rPr>
          <w:b/>
          <w:sz w:val="3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highlight w:val="none"/>
        </w:rPr>
        <w:suppressLineNumbers w:val="0"/>
      </w:pPr>
      <w:r>
        <w:rPr>
          <w:b/>
        </w:rPr>
        <w:t xml:space="preserve">Fundament der Säule bildet ein mediengestütztes </w:t>
      </w:r>
      <w:r>
        <w:rPr>
          <w:b/>
        </w:rPr>
        <w:t xml:space="preserve">didaktisches Element</w:t>
      </w:r>
      <w:r>
        <w:rPr>
          <w:b/>
        </w:rPr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t xml:space="preserve">Initiative</w:t>
      </w:r>
      <w:r>
        <w:rPr>
          <w:highlight w:val="none"/>
        </w:rPr>
        <w:t xml:space="preserve">: Durch einzelne Lehrende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Rahmen: Didaktisch fundierter Medieneinsatz als Mehrwert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Qualitätssicherung: Lehrveranstaltungsevaluation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Motivation: Möglichkeit zur Verbesserung der Lehrqualität. Der </w:t>
      </w:r>
      <w:r>
        <w:rPr>
          <w:highlight w:val="none"/>
        </w:rPr>
        <w:t xml:space="preserve">„Preis für exzellente Lehre“ nimmt mit einer eigenen Kategorie </w:t>
      </w:r>
      <w:r>
        <w:rPr>
          <w:highlight w:val="none"/>
        </w:rPr>
        <w:t xml:space="preserve">insbesondere auf entsprechende Lehrkonzepte Rücksicht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Fokus: Sämtliche Lehrangebote</w:t>
      </w:r>
      <w:r/>
    </w:p>
    <w:p>
      <w:pPr>
        <w:contextualSpacing w:val="false"/>
        <w:jc w:val="left"/>
        <w:spacing w:lineRule="auto" w:line="276" w:after="198" w:before="200"/>
        <w:rPr>
          <w:highlight w:val="none"/>
        </w:rPr>
        <w:suppressLineNumbers w:val="0"/>
      </w:pPr>
      <w:r>
        <w:rPr>
          <w:highlight w:val="none"/>
        </w:rPr>
        <w:t xml:space="preserve">Ziel: Qualitätssicherung durch den Einsatz von neuen Lehr- und </w:t>
      </w:r>
      <w:r>
        <w:rPr>
          <w:highlight w:val="none"/>
        </w:rPr>
        <w:t xml:space="preserve">Lernmethoden</w:t>
      </w:r>
      <w:r>
        <w:rPr>
          <w:highlight w:val="none"/>
        </w:rPr>
        <w:t xml:space="preserve">.</w:t>
      </w:r>
      <w:r>
        <w:rPr>
          <w:highlight w:val="none"/>
        </w:rPr>
      </w:r>
      <w:r/>
    </w:p>
    <w:p>
      <w:pPr>
        <w:pStyle w:val="640"/>
        <w:contextualSpacing w:val="false"/>
        <w:jc w:val="left"/>
        <w:spacing w:lineRule="auto" w:line="276" w:after="198" w:before="200"/>
        <w:rPr>
          <w:highlight w:val="none"/>
        </w:rPr>
        <w:suppressLineNumbers w:val="0"/>
      </w:pPr>
      <w:r>
        <w:rPr>
          <w:highlight w:val="none"/>
        </w:rPr>
      </w:r>
      <w:r>
        <w:rPr>
          <w:b/>
          <w:sz w:val="34"/>
          <w:highlight w:val="none"/>
        </w:rPr>
        <w:t xml:space="preserve">Säule B</w:t>
      </w:r>
      <w:r>
        <w:rPr>
          <w:b/>
          <w:sz w:val="3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  <w:t xml:space="preserve">Fundament der Säule bildet ein </w:t>
      </w:r>
      <w:r>
        <w:rPr>
          <w:b/>
          <w:highlight w:val="none"/>
        </w:rPr>
        <w:t xml:space="preserve">online-gestütztes Element</w:t>
      </w:r>
      <w:r>
        <w:rPr>
          <w:b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Initiative: Durch einzelne Lehrende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Rahmen: Vorgabe eines prozentualen Maximalumfangs je LV </w:t>
      </w:r>
      <w:r>
        <w:rPr>
          <w:highlight w:val="none"/>
        </w:rPr>
        <w:t xml:space="preserve">durch die </w:t>
      </w:r>
      <w:r>
        <w:rPr>
          <w:highlight w:val="none"/>
        </w:rPr>
        <w:t xml:space="preserve">Curricula-Kommission </w:t>
      </w:r>
      <w:r>
        <w:rPr>
          <w:highlight w:val="none"/>
        </w:rPr>
        <w:t xml:space="preserve">im Curriculum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Qualitätssicherung: Zwingende Evaluation der Maßnahmen 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Motivation: Möglichkeit zur Verbesserung der Lehrqualität. Der </w:t>
      </w:r>
      <w:r>
        <w:rPr>
          <w:highlight w:val="none"/>
        </w:rPr>
        <w:t xml:space="preserve">„Preis für exzellente Lehre“ nimmt mit einer eigenen Kategorie </w:t>
      </w:r>
      <w:r>
        <w:rPr>
          <w:highlight w:val="none"/>
        </w:rPr>
        <w:t xml:space="preserve">insbesondere auf entsprechende Lehrkonzepte Rücksicht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Fokus: Vorrangig Regelstudien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Ziel: Qualitätssteigerung durch den Einsatz von neuen Lehr- und </w:t>
      </w:r>
      <w:r>
        <w:rPr>
          <w:highlight w:val="none"/>
        </w:rPr>
        <w:t xml:space="preserve">Lernmethoden</w:t>
      </w:r>
      <w:r>
        <w:rPr>
          <w:highlight w:val="none"/>
        </w:rPr>
      </w:r>
      <w:r/>
    </w:p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</w:r>
      <w:r>
        <w:rPr>
          <w:b/>
          <w:sz w:val="34"/>
          <w:highlight w:val="none"/>
        </w:rPr>
        <w:t xml:space="preserve">Säule C</w:t>
      </w:r>
      <w:r>
        <w:rPr>
          <w:b/>
          <w:sz w:val="3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198" w:before="200"/>
        <w:rPr>
          <w:b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  <w:t xml:space="preserve">Fundament der </w:t>
      </w:r>
      <w:r>
        <w:rPr>
          <w:b/>
          <w:highlight w:val="none"/>
        </w:rPr>
        <w:t xml:space="preserve">Säule </w:t>
      </w:r>
      <w:r>
        <w:rPr>
          <w:b/>
          <w:highlight w:val="none"/>
        </w:rPr>
        <w:t xml:space="preserve">bildet eine strategische Vorgabe</w:t>
      </w:r>
      <w:r>
        <w:rPr>
          <w:b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Initiative: Rektorat, Senat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Rahmen: Vorgabe im Curriculum, spezifische Beauftragung durch </w:t>
      </w:r>
      <w:r>
        <w:rPr>
          <w:highlight w:val="none"/>
        </w:rPr>
        <w:t xml:space="preserve">Studiendekan:in/ Lehrgangsleiter:in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Qualitätssicherung: Genehmigung durch Studien- und </w:t>
      </w:r>
      <w:r>
        <w:rPr>
          <w:highlight w:val="none"/>
        </w:rPr>
        <w:t xml:space="preserve">Curriculakommission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Motivation: Die Möglichkeit eines berufsbegleitenden Studiums </w:t>
      </w:r>
      <w:r>
        <w:rPr>
          <w:highlight w:val="none"/>
        </w:rPr>
        <w:t xml:space="preserve">ist für viele Voraussetzung für die Entscheidung zu einem unserer </w:t>
      </w:r>
      <w:r>
        <w:rPr>
          <w:highlight w:val="none"/>
        </w:rPr>
        <w:t xml:space="preserve">Weiterbildungsangebote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Fokus: Berufsbegleitende und internationale Studienangebote</w:t>
      </w:r>
      <w:r/>
    </w:p>
    <w:p>
      <w:pPr>
        <w:contextualSpacing w:val="false"/>
        <w:jc w:val="left"/>
        <w:spacing w:lineRule="auto" w:line="276" w:after="198" w:before="200"/>
        <w:suppressLineNumbers w:val="0"/>
      </w:pPr>
      <w:r>
        <w:rPr>
          <w:highlight w:val="none"/>
        </w:rPr>
        <w:t xml:space="preserve">Ziel: Berufsbegleitendes Studieren ermöglichen, insbesondere bei </w:t>
      </w:r>
      <w:r>
        <w:rPr>
          <w:highlight w:val="none"/>
        </w:rPr>
        <w:t xml:space="preserve">Universitätslehrgängen</w:t>
      </w:r>
      <w:r>
        <w:rPr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  <w:t xml:space="preserve">Bitte beachten Sie:</w:t>
      </w:r>
      <w:r>
        <w:rPr>
          <w:highlight w:val="none"/>
        </w:rPr>
        <w:t xml:space="preserve"> </w:t>
      </w:r>
      <w:r>
        <w:rPr>
          <w:highlight w:val="none"/>
        </w:rPr>
        <w:t xml:space="preserve">Bei schriftlicher Genehmigung durch die:den Studiendekan:in kann </w:t>
      </w:r>
      <w:r>
        <w:rPr>
          <w:highlight w:val="none"/>
        </w:rPr>
        <w:t xml:space="preserve">jederzeit der virtuelle Anteil (über den Schwellwert) erhöht werden. </w:t>
      </w:r>
      <w:r>
        <w:rPr>
          <w:highlight w:val="none"/>
        </w:rPr>
        <w:t xml:space="preserve">Die Verankerung im Curriculum sollte jedoch trotzdem angestrebt </w:t>
      </w:r>
      <w:r>
        <w:rPr>
          <w:highlight w:val="none"/>
        </w:rPr>
        <w:t xml:space="preserve">werden.</w:t>
      </w:r>
      <w:r/>
    </w:p>
    <w:p>
      <w:pPr>
        <w:pStyle w:val="640"/>
        <w:contextualSpacing w:val="false"/>
        <w:jc w:val="left"/>
        <w:spacing w:lineRule="auto" w:line="276" w:after="198" w:before="200"/>
        <w:rPr>
          <w:b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  <w:t xml:space="preserve">Literaturverzeichnis </w:t>
      </w:r>
      <w:r>
        <w:rPr>
          <w:b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highlight w:val="none"/>
        </w:rPr>
        <w:suppressLineNumbers w:val="0"/>
      </w:pPr>
      <w:r>
        <w:rPr>
          <w:sz w:val="24"/>
          <w:highlight w:val="none"/>
        </w:rPr>
        <w:t xml:space="preserve">Michels, B., Schäfer, A., Schifferings, M., Schnabel, F., Wagenfeld, F. (2014) Die internationale Hochschule - Die </w:t>
      </w:r>
      <w:r>
        <w:rPr>
          <w:sz w:val="24"/>
          <w:highlight w:val="none"/>
        </w:rPr>
        <w:t xml:space="preserve">Internationalisierung der deutschen Hochschulen im Zeichen virtueller Lehr- und Lernszenarien. W. Bertelsmann Verlag </w:t>
      </w:r>
      <w:r>
        <w:rPr>
          <w:sz w:val="24"/>
          <w:highlight w:val="none"/>
        </w:rPr>
        <w:t xml:space="preserve">GmbH &amp; Co. KG, Bielefeld.</w:t>
      </w:r>
      <w:r>
        <w:rPr>
          <w:sz w:val="24"/>
          <w:highlight w:val="none"/>
        </w:rPr>
      </w:r>
      <w:r/>
    </w:p>
    <w:p>
      <w:pPr>
        <w:pStyle w:val="64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  <w:t xml:space="preserve">Sticker zum Beitrag</w:t>
      </w:r>
      <w:r>
        <w:rPr>
          <w:b/>
          <w:sz w:val="34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381375" cy="3381375"/>
                <wp:effectExtent l="0" t="0" r="0" b="0"/>
                <wp:docPr id="1" name="" hidden="false" title="Sticker zum Beitrag: ein Computer und ein Buch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 title="Sticker zum Beitrag: ein Computer und ein Buch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3381374" cy="33813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66.2pt;height:266.2pt;rotation:0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4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8">
    <w:name w:val="Heading 1"/>
    <w:basedOn w:val="814"/>
    <w:next w:val="814"/>
    <w:link w:val="63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9">
    <w:name w:val="Heading 1 Char"/>
    <w:link w:val="638"/>
    <w:uiPriority w:val="9"/>
    <w:rPr>
      <w:rFonts w:ascii="Arial" w:hAnsi="Arial" w:cs="Arial" w:eastAsia="Arial"/>
      <w:sz w:val="40"/>
      <w:szCs w:val="40"/>
    </w:rPr>
  </w:style>
  <w:style w:type="paragraph" w:styleId="640">
    <w:name w:val="Heading 2"/>
    <w:basedOn w:val="814"/>
    <w:next w:val="814"/>
    <w:link w:val="64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41">
    <w:name w:val="Heading 2 Char"/>
    <w:link w:val="640"/>
    <w:uiPriority w:val="9"/>
    <w:rPr>
      <w:rFonts w:ascii="Arial" w:hAnsi="Arial" w:cs="Arial" w:eastAsia="Arial"/>
      <w:sz w:val="34"/>
    </w:rPr>
  </w:style>
  <w:style w:type="paragraph" w:styleId="642">
    <w:name w:val="Heading 3"/>
    <w:basedOn w:val="814"/>
    <w:next w:val="814"/>
    <w:link w:val="64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3">
    <w:name w:val="Heading 3 Char"/>
    <w:link w:val="642"/>
    <w:uiPriority w:val="9"/>
    <w:rPr>
      <w:rFonts w:ascii="Arial" w:hAnsi="Arial" w:cs="Arial" w:eastAsia="Arial"/>
      <w:sz w:val="30"/>
      <w:szCs w:val="30"/>
    </w:rPr>
  </w:style>
  <w:style w:type="paragraph" w:styleId="644">
    <w:name w:val="Heading 4"/>
    <w:basedOn w:val="814"/>
    <w:next w:val="814"/>
    <w:link w:val="64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5">
    <w:name w:val="Heading 4 Char"/>
    <w:link w:val="644"/>
    <w:uiPriority w:val="9"/>
    <w:rPr>
      <w:rFonts w:ascii="Arial" w:hAnsi="Arial" w:cs="Arial" w:eastAsia="Arial"/>
      <w:b/>
      <w:bCs/>
      <w:sz w:val="26"/>
      <w:szCs w:val="26"/>
    </w:rPr>
  </w:style>
  <w:style w:type="paragraph" w:styleId="646">
    <w:name w:val="Heading 5"/>
    <w:basedOn w:val="814"/>
    <w:next w:val="814"/>
    <w:link w:val="64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7">
    <w:name w:val="Heading 5 Char"/>
    <w:link w:val="646"/>
    <w:uiPriority w:val="9"/>
    <w:rPr>
      <w:rFonts w:ascii="Arial" w:hAnsi="Arial" w:cs="Arial" w:eastAsia="Arial"/>
      <w:b/>
      <w:bCs/>
      <w:sz w:val="24"/>
      <w:szCs w:val="24"/>
    </w:rPr>
  </w:style>
  <w:style w:type="paragraph" w:styleId="648">
    <w:name w:val="Heading 6"/>
    <w:basedOn w:val="814"/>
    <w:next w:val="814"/>
    <w:link w:val="64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9">
    <w:name w:val="Heading 6 Char"/>
    <w:link w:val="648"/>
    <w:uiPriority w:val="9"/>
    <w:rPr>
      <w:rFonts w:ascii="Arial" w:hAnsi="Arial" w:cs="Arial" w:eastAsia="Arial"/>
      <w:b/>
      <w:bCs/>
      <w:sz w:val="22"/>
      <w:szCs w:val="22"/>
    </w:rPr>
  </w:style>
  <w:style w:type="paragraph" w:styleId="650">
    <w:name w:val="Heading 7"/>
    <w:basedOn w:val="814"/>
    <w:next w:val="814"/>
    <w:link w:val="65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51">
    <w:name w:val="Heading 7 Char"/>
    <w:link w:val="65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2">
    <w:name w:val="Heading 8"/>
    <w:basedOn w:val="814"/>
    <w:next w:val="814"/>
    <w:link w:val="65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3">
    <w:name w:val="Heading 8 Char"/>
    <w:link w:val="652"/>
    <w:uiPriority w:val="9"/>
    <w:rPr>
      <w:rFonts w:ascii="Arial" w:hAnsi="Arial" w:cs="Arial" w:eastAsia="Arial"/>
      <w:i/>
      <w:iCs/>
      <w:sz w:val="22"/>
      <w:szCs w:val="22"/>
    </w:rPr>
  </w:style>
  <w:style w:type="paragraph" w:styleId="654">
    <w:name w:val="Heading 9"/>
    <w:basedOn w:val="814"/>
    <w:next w:val="814"/>
    <w:link w:val="65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5">
    <w:name w:val="Heading 9 Char"/>
    <w:link w:val="654"/>
    <w:uiPriority w:val="9"/>
    <w:rPr>
      <w:rFonts w:ascii="Arial" w:hAnsi="Arial" w:cs="Arial" w:eastAsia="Arial"/>
      <w:i/>
      <w:iCs/>
      <w:sz w:val="21"/>
      <w:szCs w:val="21"/>
    </w:rPr>
  </w:style>
  <w:style w:type="paragraph" w:styleId="656">
    <w:name w:val="Title"/>
    <w:basedOn w:val="814"/>
    <w:next w:val="814"/>
    <w:link w:val="65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7">
    <w:name w:val="Title Char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qFormat/>
    <w:uiPriority w:val="11"/>
    <w:rPr>
      <w:sz w:val="24"/>
      <w:szCs w:val="24"/>
    </w:rPr>
    <w:pPr>
      <w:spacing w:after="200" w:before="200"/>
    </w:pPr>
  </w:style>
  <w:style w:type="character" w:styleId="659">
    <w:name w:val="Subtitle Char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qFormat/>
    <w:uiPriority w:val="29"/>
    <w:rPr>
      <w:i/>
    </w:rPr>
    <w:pPr>
      <w:ind w:left="720" w:right="720"/>
    </w:p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qFormat/>
    <w:uiPriority w:val="30"/>
    <w:rPr>
      <w:i/>
    </w:rPr>
    <w:pPr>
      <w:contextualSpacing w:val="false"/>
      <w:ind w:left="720" w:right="720"/>
      <w:shd w:val="clear" w:color="F2F2F2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Header Char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7">
    <w:name w:val="Footer Char"/>
    <w:link w:val="666"/>
    <w:uiPriority w:val="99"/>
  </w:style>
  <w:style w:type="paragraph" w:styleId="668">
    <w:name w:val="Caption"/>
    <w:basedOn w:val="814"/>
    <w:next w:val="81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7">
    <w:name w:val="Grid Table 1 Light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2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2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3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3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4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9">
    <w:name w:val="Grid Table 4 - Accent 1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00">
    <w:name w:val="Grid Table 4 - Accent 2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1">
    <w:name w:val="Grid Table 4 - Accent 3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2">
    <w:name w:val="Grid Table 4 - Accent 4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3">
    <w:name w:val="Grid Table 4 - Accent 5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4">
    <w:name w:val="Grid Table 4 - Accent 6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5">
    <w:name w:val="Grid Table 5 Dark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6">
    <w:name w:val="Grid Table 5 Dark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9">
    <w:name w:val="Grid Table 5 Dark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0">
    <w:name w:val="Grid Table 5 Dark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1">
    <w:name w:val="Grid Table 5 Dark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2">
    <w:name w:val="Grid Table 6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7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7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1 Light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1 Light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List Table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4">
    <w:name w:val="List Table 2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5">
    <w:name w:val="List Table 2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6">
    <w:name w:val="List Table 2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7">
    <w:name w:val="List Table 2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8">
    <w:name w:val="List Table 2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9">
    <w:name w:val="List Table 2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40">
    <w:name w:val="List Table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2">
    <w:name w:val="List Table 6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3">
    <w:name w:val="List Table 6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4">
    <w:name w:val="List Table 6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5">
    <w:name w:val="List Table 6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6">
    <w:name w:val="List Table 6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7">
    <w:name w:val="List Table 6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8">
    <w:name w:val="List Table 7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0">
    <w:name w:val="List Table 7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1">
    <w:name w:val="List Table 7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2">
    <w:name w:val="List Table 7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3">
    <w:name w:val="List Table 7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4">
    <w:name w:val="List Table 7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5">
    <w:name w:val="Lined - Accent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6">
    <w:name w:val="Lined - Accent 1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7">
    <w:name w:val="Lined - Accent 2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8">
    <w:name w:val="Lined - Accent 3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9">
    <w:name w:val="Lined - Accent 4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0">
    <w:name w:val="Lined - Accent 5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1">
    <w:name w:val="Lined - Accent 6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2">
    <w:name w:val="Bordered &amp; Lined - Accent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3">
    <w:name w:val="Bordered &amp; Lined - Accent 1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4">
    <w:name w:val="Bordered &amp; Lined - Accent 2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5">
    <w:name w:val="Bordered &amp; Lined - Accent 3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6">
    <w:name w:val="Bordered &amp; Lined - Accent 4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7">
    <w:name w:val="Bordered &amp; Lined - Accent 5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8">
    <w:name w:val="Bordered &amp; Lined - Accent 6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9">
    <w:name w:val="Bordered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90">
    <w:name w:val="Bordered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1">
    <w:name w:val="Bordered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2">
    <w:name w:val="Bordered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3">
    <w:name w:val="Bordered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4">
    <w:name w:val="Bordered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5">
    <w:name w:val="Bordered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rPr>
      <w:sz w:val="18"/>
    </w:rPr>
    <w:pPr>
      <w:spacing w:lineRule="auto" w:line="240" w:after="40"/>
    </w:p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rPr>
      <w:sz w:val="20"/>
    </w:rPr>
    <w:pPr>
      <w:spacing w:lineRule="auto" w:line="240" w:after="0"/>
    </w:p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paragraph" w:styleId="817">
    <w:name w:val="No Spacing"/>
    <w:basedOn w:val="814"/>
    <w:qFormat/>
    <w:uiPriority w:val="1"/>
    <w:pPr>
      <w:spacing w:lineRule="auto" w:line="240" w:after="0"/>
    </w:pPr>
  </w:style>
  <w:style w:type="paragraph" w:styleId="818">
    <w:name w:val="List Paragraph"/>
    <w:basedOn w:val="814"/>
    <w:qFormat/>
    <w:uiPriority w:val="34"/>
    <w:pPr>
      <w:contextualSpacing w:val="true"/>
      <w:ind w:left="720"/>
    </w:pPr>
  </w:style>
  <w:style w:type="character" w:styleId="81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creativecommons.org/licenses/by-sa/4.0/deed.de" TargetMode="External"/><Relationship Id="rId11" Type="http://schemas.openxmlformats.org/officeDocument/2006/relationships/hyperlink" Target="https://www.tugraz.at/fileadmin/public/Studierende_und_Bedienstete/Richtlinien_und_Verordnungen_der_TU_Graz/Virtuelle_Lehre_Richtlinie.pdf" TargetMode="External"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Hochschule #03 Virtuelle Lehre an der Technischen Universität Graz</dc:title>
  <dc:subject/>
  <dc:creator>Martin Ebner</dc:creator>
  <dc:description/>
  <cp:lastModifiedBy>Valgoi, Elisabetta (e.valgoi@tugraz.at)</cp:lastModifiedBy>
  <cp:revision>9</cp:revision>
  <dcterms:modified xsi:type="dcterms:W3CDTF">2021-07-02T09:07:17Z</dcterms:modified>
</cp:coreProperties>
</file>