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contextualSpacing w:val="false"/>
        <w:jc w:val="left"/>
        <w:spacing w:lineRule="auto" w:line="276" w:after="198" w:before="200"/>
        <w:rPr>
          <w:b/>
        </w:rPr>
        <w:suppressLineNumbers w:val="0"/>
      </w:pPr>
      <w:r>
        <w:rPr>
          <w:b/>
        </w:rPr>
      </w:r>
      <w:r>
        <w:rPr>
          <w:b/>
        </w:rPr>
        <w:t xml:space="preserve">Hochschule </w:t>
      </w:r>
      <w:r>
        <w:rPr>
          <w:b/>
        </w:rPr>
        <w:t xml:space="preserve">#03 Virtuelle Lehre und Online-Prüfungen im Satzungsteil, Ergänzung</w:t>
      </w:r>
      <w:r/>
      <w:r/>
    </w:p>
    <w:tbl>
      <w:tblPr>
        <w:tblStyle w:val="682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before="200"/>
              <w:rPr>
                <w:b/>
                <w:color w:val="000000"/>
                <w:spacing w:val="0"/>
                <w:sz w:val="24"/>
                <w:highlight w:val="none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Autor:innen</w:t>
            </w:r>
            <w:r>
              <w:rPr>
                <w:b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before="200"/>
              <w:suppressLineNumbers w:val="0"/>
            </w:pPr>
            <w:r>
              <w:rPr>
                <w:b w:val="false"/>
                <w:spacing w:val="0"/>
                <w:sz w:val="24"/>
              </w:rPr>
              <w:t xml:space="preserve">TU Graz Lehr- und Lerntechnologien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before="200"/>
              <w:rPr>
                <w:b/>
                <w:color w:val="000000"/>
                <w:spacing w:val="0"/>
                <w:sz w:val="24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Veröffentlichung</w:t>
            </w:r>
            <w:r>
              <w:rPr>
                <w:b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before="200"/>
              <w:rPr>
                <w:b w:val="false"/>
                <w:spacing w:val="0"/>
                <w:sz w:val="24"/>
              </w:rPr>
              <w:suppressLineNumbers w:val="0"/>
            </w:pPr>
            <w:r>
              <w:rPr>
                <w:b w:val="false"/>
                <w:spacing w:val="0"/>
                <w:sz w:val="24"/>
              </w:rPr>
              <w:t xml:space="preserve">Dezember </w:t>
            </w:r>
            <w:r>
              <w:rPr>
                <w:b w:val="false"/>
                <w:spacing w:val="0"/>
                <w:sz w:val="24"/>
              </w:rPr>
              <w:t xml:space="preserve">2021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before="200"/>
              <w:rPr>
                <w:b/>
                <w:color w:val="000000"/>
                <w:spacing w:val="0"/>
                <w:sz w:val="24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Lizenz</w:t>
            </w:r>
            <w:r>
              <w:rPr>
                <w:b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ind w:left="0" w:right="0" w:firstLine="0"/>
              <w:jc w:val="left"/>
              <w:spacing w:lineRule="auto" w:line="276" w:after="198" w:before="200"/>
              <w:rPr>
                <w:b w:val="false"/>
                <w:spacing w:val="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b w:val="false"/>
                <w:spacing w:val="0"/>
                <w:sz w:val="24"/>
              </w:rPr>
            </w:r>
            <w:r>
              <w:rPr>
                <w:sz w:val="24"/>
              </w:rPr>
              <w:t xml:space="preserve">Lizenziert unter der </w:t>
            </w:r>
            <w:r>
              <w:rPr>
                <w:sz w:val="24"/>
              </w:rPr>
            </w:r>
            <w:hyperlink r:id="rId10" w:tooltip="CC BY 4.0 International" w:history="1">
              <w:r>
                <w:rPr>
                  <w:rStyle w:val="806"/>
                  <w:sz w:val="24"/>
                </w:rPr>
                <w:t xml:space="preserve">Creative-Commons-Lizenz CC BY 4.0 International</w:t>
              </w:r>
            </w:hyperlink>
            <w:r>
              <w:rPr>
                <w:sz w:val="24"/>
              </w:rPr>
              <w:t xml:space="preserve">.</w:t>
            </w:r>
            <w:r>
              <w:rPr>
                <w:b w:val="false"/>
                <w:spacing w:val="0"/>
                <w:sz w:val="24"/>
              </w:rPr>
            </w:r>
            <w:r/>
          </w:p>
        </w:tc>
      </w:tr>
    </w:tbl>
    <w:p>
      <w:pPr>
        <w:contextualSpacing w:val="false"/>
        <w:ind w:left="0" w:right="0" w:firstLine="0"/>
        <w:jc w:val="left"/>
        <w:spacing w:lineRule="auto" w:line="276" w:after="198" w:before="200"/>
        <w:shd w:val="clear" w:color="BBABCB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  <w:t xml:space="preserve">Mit 10. August 2021 hat der Senat der TU Graz auf Vorschlag des Rektorats den </w:t>
      </w:r>
      <w:hyperlink r:id="rId11" w:tooltip="https://www.tugraz.at/fileadmin/user_upload/tugrazExternal/02bfe6da-df31-4c20-9e9f-819251ecfd4b/2020_2021/Stk_22/Satzungsteil_Studienrecht_10082021.pdf" w:history="1">
        <w:r>
          <w:rPr>
            <w:rStyle w:val="806"/>
            <w:rFonts w:ascii="Arial" w:hAnsi="Arial" w:cs="Arial" w:eastAsia="Arial"/>
            <w:sz w:val="24"/>
          </w:rPr>
          <w:t xml:space="preserve">Satzungsteil </w:t>
        </w:r>
        <w:r>
          <w:rPr>
            <w:rStyle w:val="806"/>
          </w:rPr>
        </w:r>
        <w:r>
          <w:rPr>
            <w:rStyle w:val="806"/>
            <w:rFonts w:ascii="Arial" w:hAnsi="Arial" w:cs="Arial" w:eastAsia="Arial"/>
            <w:sz w:val="24"/>
          </w:rPr>
          <w:t xml:space="preserve">Studienrecht </w:t>
        </w:r>
      </w:hyperlink>
      <w:r>
        <w:rPr>
          <w:rFonts w:ascii="Arial" w:hAnsi="Arial" w:cs="Arial" w:eastAsia="Arial"/>
          <w:color w:val="000000"/>
          <w:sz w:val="24"/>
        </w:rPr>
        <w:t xml:space="preserve">mit einem neuem Kapitel zu „Virtuelle Lehre und Online-Prüfungen“ beschlossen </w:t>
      </w:r>
      <w:r>
        <w:rPr>
          <w:rFonts w:ascii="Arial" w:hAnsi="Arial" w:cs="Arial" w:eastAsia="Arial"/>
          <w:color w:val="000000"/>
          <w:sz w:val="24"/>
        </w:rPr>
        <w:t xml:space="preserve">(§28a - §28e). Mit 1. Oktober 2021 ist dieser Teil nun auch in Kraft und gültig.</w:t>
      </w:r>
      <w:r/>
    </w:p>
    <w:p>
      <w:pPr>
        <w:contextualSpacing w:val="false"/>
        <w:ind w:left="0" w:right="0" w:firstLine="0"/>
        <w:jc w:val="left"/>
        <w:spacing w:lineRule="auto" w:line="276" w:after="198" w:before="200"/>
        <w:shd w:val="clear" w:color="BBABCB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  <w:t xml:space="preserve">Damit wurde gleichzeitig die bestehende Richtlinie zur „Virtuellen Lehre“ aus dem Jahr 2017, </w:t>
      </w:r>
      <w:r>
        <w:rPr>
          <w:rFonts w:ascii="Arial" w:hAnsi="Arial" w:cs="Arial" w:eastAsia="Arial"/>
          <w:color w:val="000000"/>
          <w:sz w:val="24"/>
        </w:rPr>
        <w:t xml:space="preserve">die im </w:t>
      </w:r>
      <w:hyperlink r:id="rId12" w:tooltip="https://telucation.tugraz.at/03-virtuelle-lehre-an-der-technischen-universitaet-graz/" w:history="1">
        <w:r>
          <w:rPr>
            <w:rStyle w:val="806"/>
            <w:rFonts w:ascii="Arial" w:hAnsi="Arial" w:cs="Arial" w:eastAsia="Arial"/>
            <w:sz w:val="24"/>
          </w:rPr>
          <w:t xml:space="preserve">Beitrag „Virtuelle Lehre an der Technischen Universität Graz</w:t>
        </w:r>
      </w:hyperlink>
      <w:r>
        <w:rPr>
          <w:rFonts w:ascii="Arial" w:hAnsi="Arial" w:cs="Arial" w:eastAsia="Arial"/>
          <w:color w:val="000000"/>
          <w:sz w:val="24"/>
        </w:rPr>
        <w:t xml:space="preserve">“ beschrieben wurde, außer Kraft gesetzt</w:t>
      </w:r>
      <w:r>
        <w:rPr>
          <w:rFonts w:ascii="Arial" w:hAnsi="Arial" w:cs="Arial" w:eastAsia="Arial"/>
          <w:color w:val="000000"/>
          <w:sz w:val="24"/>
        </w:rPr>
      </w:r>
      <w:r/>
    </w:p>
    <w:p>
      <w:pPr>
        <w:pStyle w:val="650"/>
        <w:contextualSpacing w:val="false"/>
        <w:jc w:val="left"/>
        <w:spacing w:lineRule="auto" w:line="276" w:after="198" w:before="200"/>
        <w:rPr>
          <w:rFonts w:ascii="Arial" w:hAnsi="Arial" w:cs="Arial" w:eastAsia="Arial"/>
          <w:b/>
          <w:sz w:val="34"/>
        </w:rPr>
        <w:suppressLineNumbers w:val="0"/>
      </w:pPr>
      <w:r>
        <w:rPr>
          <w:rFonts w:ascii="Arial" w:hAnsi="Arial" w:cs="Arial" w:eastAsia="Arial"/>
          <w:b/>
          <w:color w:val="000000"/>
          <w:sz w:val="34"/>
        </w:rPr>
        <w:t xml:space="preserve">Wesentliche Eckpunkte des Satzungsteils zur virtuellen Lehre</w:t>
      </w:r>
      <w:r/>
    </w:p>
    <w:p>
      <w:pPr>
        <w:contextualSpacing w:val="false"/>
        <w:ind w:left="0" w:right="0" w:firstLine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  <w:t xml:space="preserve">Nachfolgend werden ein paar Auszüge aus dem Satzungsteil und die Paragraphen, wo diese zu finden sind, angeführt:</w:t>
      </w:r>
      <w:r/>
    </w:p>
    <w:p>
      <w:pPr>
        <w:pStyle w:val="828"/>
        <w:numPr>
          <w:ilvl w:val="0"/>
          <w:numId w:val="8"/>
        </w:numPr>
        <w:contextualSpacing w:val="false"/>
        <w:ind w:right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§28b (1): „Die Lehrenden können digitale Lehr- und Lernelemente und -formate als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didaktisches Mittel im Rahmen von Lehrveranstaltungen einsetzen.“</w:t>
      </w:r>
      <w:r>
        <w:rPr>
          <w:rFonts w:ascii="Arial" w:hAnsi="Arial" w:cs="Arial" w:eastAsia="Arial"/>
          <w:color w:val="000000"/>
          <w:sz w:val="24"/>
        </w:rPr>
      </w:r>
    </w:p>
    <w:p>
      <w:pPr>
        <w:pStyle w:val="828"/>
        <w:contextualSpacing w:val="false"/>
        <w:ind w:right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  <w:t xml:space="preserve">§28b (4): „Die Lehrenden können die für die Lehrveranstaltung vorgesehenen Kontaktstunden in Form von synchroner virtueller Lehre abhalten, sofern im Curriculum nichts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anderes vorgesehen ist.“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Damit können Lehrende frei über den Ort der Abhaltung (in Präsenz </w:t>
      </w:r>
      <w:r/>
      <w:r>
        <w:rPr>
          <w:rFonts w:ascii="Arial" w:hAnsi="Arial" w:cs="Arial" w:eastAsia="Arial"/>
          <w:color w:val="000000"/>
          <w:sz w:val="24"/>
        </w:rPr>
        <w:t xml:space="preserve">und/oder virtuell) entscheiden, solange es sich um synchronen Unterricht </w:t>
      </w:r>
      <w:r/>
      <w:r>
        <w:rPr>
          <w:rFonts w:ascii="Arial" w:hAnsi="Arial" w:cs="Arial" w:eastAsia="Arial"/>
          <w:color w:val="000000"/>
          <w:sz w:val="24"/>
        </w:rPr>
        <w:t xml:space="preserve">(d. h. Unterricht mit gleichzeitiger Interaktionsmöglichkeit) handelt.</w:t>
      </w:r>
      <w:r/>
    </w:p>
    <w:p>
      <w:pPr>
        <w:pStyle w:val="828"/>
        <w:numPr>
          <w:ilvl w:val="0"/>
          <w:numId w:val="8"/>
        </w:numPr>
        <w:contextualSpacing w:val="false"/>
        <w:ind w:right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  <w:t xml:space="preserve">§28b (5): „Die:der zuständige Studiendekan:in kann im Einzelfall die Abhaltung der für die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Lehrveranstaltung vorgesehenen Kontaktstunden ersatzweise in Form von asynchroner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virtueller Lehre genehmigen.“ Dies bedeutet, dass eine zeitversetzte virtuelle Lehre, wie z. B.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das Angebot eines Online-Kurses mit begleitenden zeitversetzten Interaktionsmöglichkeiten,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wie u. a. einem Diskussionsforum, vorab zu genehmigen ist.</w:t>
      </w:r>
      <w:r>
        <w:rPr>
          <w:rFonts w:ascii="Arial" w:hAnsi="Arial" w:cs="Arial" w:eastAsia="Arial"/>
          <w:color w:val="000000"/>
          <w:sz w:val="24"/>
        </w:rPr>
      </w:r>
    </w:p>
    <w:p>
      <w:pPr>
        <w:pStyle w:val="828"/>
        <w:numPr>
          <w:ilvl w:val="0"/>
          <w:numId w:val="8"/>
        </w:numPr>
        <w:contextualSpacing w:val="false"/>
        <w:ind w:right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</w:rPr>
        <w:t xml:space="preserve">§28b (7) weist darauf hin, dass „Studierende vor Beginn des Semesters in der Lehrveranstaltungsbeschreibung im Online-System über das Konzept der Lehrveranstaltung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und den geplanten Einsatz von digitalen Lehr- und Lernelementen und -formaten sowie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virtueller Lehre zu informieren“ sind, um einen reibungslosen und planbaren Lehrbetrieb 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  <w:t xml:space="preserve">zu gewährleisten.</w:t>
      </w:r>
      <w:r>
        <w:rPr>
          <w:rFonts w:ascii="Arial" w:hAnsi="Arial" w:cs="Arial" w:eastAsia="Arial"/>
          <w:color w:val="000000"/>
          <w:sz w:val="24"/>
        </w:rPr>
      </w:r>
      <w:r>
        <w:rPr>
          <w:rFonts w:ascii="Arial" w:hAnsi="Arial" w:cs="Arial" w:eastAsia="Arial"/>
          <w:color w:val="000000"/>
          <w:sz w:val="24"/>
        </w:rPr>
      </w:r>
    </w:p>
    <w:p>
      <w:pPr>
        <w:contextualSpacing w:val="false"/>
        <w:ind w:right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  <w:highlight w:val="none"/>
        </w:rPr>
        <w:t xml:space="preserve">Zusammengefasst kann festgehalten werden, dass damit der zuvor geltende Schwellwert über </w:t>
      </w:r>
      <w:r/>
      <w:r>
        <w:rPr>
          <w:rFonts w:ascii="Arial" w:hAnsi="Arial" w:cs="Arial" w:eastAsia="Arial"/>
          <w:color w:val="000000"/>
          <w:sz w:val="24"/>
          <w:highlight w:val="none"/>
        </w:rPr>
        <w:t xml:space="preserve">das mögliche Ausmaß virtueller Lehre gestrichen wurde, um Lehrenden die Möglichkeit zu geben, </w:t>
      </w:r>
      <w:r/>
      <w:r>
        <w:rPr>
          <w:rFonts w:ascii="Arial" w:hAnsi="Arial" w:cs="Arial" w:eastAsia="Arial"/>
          <w:color w:val="000000"/>
          <w:sz w:val="24"/>
          <w:highlight w:val="none"/>
        </w:rPr>
        <w:t xml:space="preserve">die Vorteile virtueller Lehre didaktisch bestmöglich nutzen zu können.</w:t>
      </w:r>
      <w:r/>
    </w:p>
    <w:p>
      <w:pPr>
        <w:contextualSpacing w:val="false"/>
        <w:ind w:right="0"/>
        <w:jc w:val="left"/>
        <w:spacing w:lineRule="auto" w:line="276" w:after="198" w:before="200"/>
        <w:shd w:val="clear" w:color="FFFFFF"/>
        <w:rPr>
          <w:rFonts w:ascii="Arial" w:hAnsi="Arial" w:cs="Arial" w:eastAsia="Arial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Arial" w:hAnsi="Arial" w:cs="Arial" w:eastAsia="Arial"/>
          <w:color w:val="000000"/>
          <w:sz w:val="24"/>
          <w:highlight w:val="none"/>
        </w:rPr>
        <w:t xml:space="preserve">Darüber hinaus wurde im Satzungsteil auch ein neues Kapitel zu Online-Prüfungen aufgenommen, welches die Abhaltung von mündlichen und </w:t>
      </w:r>
      <w:r/>
      <w:r>
        <w:rPr>
          <w:rFonts w:ascii="Arial" w:hAnsi="Arial" w:cs="Arial" w:eastAsia="Arial"/>
          <w:color w:val="000000"/>
          <w:sz w:val="24"/>
          <w:highlight w:val="none"/>
        </w:rPr>
        <w:t xml:space="preserve">schriftlichen Online-Prüfungen regelt.</w:t>
      </w:r>
      <w:r/>
      <w:r>
        <w:rPr>
          <w:rFonts w:ascii="Arial" w:hAnsi="Arial" w:cs="Arial" w:eastAsia="Arial"/>
          <w:color w:val="000000"/>
          <w:sz w:val="24"/>
          <w:highlight w:val="none"/>
        </w:rPr>
      </w:r>
      <w:r>
        <w:rPr>
          <w:rFonts w:ascii="Arial" w:hAnsi="Arial" w:cs="Arial" w:eastAsia="Arial"/>
          <w:color w:val="000000"/>
          <w:sz w:val="24"/>
          <w:highlight w:val="none"/>
        </w:rPr>
      </w:r>
    </w:p>
    <w:p>
      <w:pPr>
        <w:pStyle w:val="650"/>
        <w:contextualSpacing w:val="false"/>
        <w:jc w:val="left"/>
        <w:spacing w:lineRule="auto" w:line="276" w:after="198" w:before="200"/>
        <w:rPr>
          <w:b/>
          <w:sz w:val="34"/>
          <w:highlight w:val="none"/>
        </w:rPr>
        <w:suppressLineNumbers w:val="0"/>
      </w:pPr>
      <w:r>
        <w:rPr>
          <w:b/>
          <w:sz w:val="34"/>
          <w:highlight w:val="none"/>
        </w:rPr>
        <w:t xml:space="preserve">Sticker zum Beitrag</w:t>
      </w:r>
      <w:r>
        <w:rPr>
          <w:b/>
          <w:sz w:val="34"/>
          <w:highlight w:val="none"/>
        </w:rPr>
      </w:r>
      <w:r/>
    </w:p>
    <w:p>
      <w:pPr>
        <w:contextualSpacing w:val="false"/>
        <w:jc w:val="left"/>
        <w:spacing w:lineRule="auto" w:line="276" w:after="198" w:before="200"/>
        <w:rPr>
          <w:sz w:val="24"/>
          <w:highlight w:val="none"/>
        </w:rPr>
        <w:suppressLineNumbers w:val="0"/>
      </w:pPr>
      <w:r>
        <w:rPr>
          <w:sz w:val="24"/>
          <w:highlight w:val="none"/>
        </w:rPr>
        <w:t xml:space="preserve">Zu Ergänzungsbeiträgen gibt es keinen Sticker.</w:t>
      </w:r>
      <w:r>
        <w:rPr>
          <w:sz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9">
    <w:name w:val="Heading 1 Char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4"/>
    <w:next w:val="824"/>
    <w:link w:val="65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1">
    <w:name w:val="Heading 2 Char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4"/>
    <w:next w:val="824"/>
    <w:link w:val="65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3">
    <w:name w:val="Heading 3 Char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4"/>
    <w:next w:val="824"/>
    <w:link w:val="65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5">
    <w:name w:val="Heading 4 Char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7">
    <w:name w:val="Heading 5 Char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9">
    <w:name w:val="Heading 6 Char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qFormat/>
    <w:uiPriority w:val="11"/>
    <w:rPr>
      <w:sz w:val="24"/>
      <w:szCs w:val="24"/>
    </w:rPr>
    <w:pPr>
      <w:spacing w:after="200" w:before="200"/>
    </w:p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qFormat/>
    <w:uiPriority w:val="29"/>
    <w:rPr>
      <w:i/>
    </w:rPr>
    <w:pPr>
      <w:ind w:left="720" w:right="720"/>
    </w:p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qFormat/>
    <w:uiPriority w:val="30"/>
    <w:rPr>
      <w:i/>
    </w:rPr>
    <w:pPr>
      <w:contextualSpacing w:val="false"/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9">
    <w:name w:val="Grid Table 4 - Accent 1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0">
    <w:name w:val="Grid Table 4 - Accent 2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1">
    <w:name w:val="Grid Table 4 - Accent 3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2">
    <w:name w:val="Grid Table 4 - Accent 4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3">
    <w:name w:val="Grid Table 4 - Accent 5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4">
    <w:name w:val="Grid Table 4 - Accent 6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5">
    <w:name w:val="Grid Table 5 Dark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6">
    <w:name w:val="Grid Table 5 Dark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7">
    <w:name w:val="Grid Table 5 Dark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9">
    <w:name w:val="Grid Table 5 Dark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0">
    <w:name w:val="Grid Table 5 Dark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1">
    <w:name w:val="Grid Table 5 Dark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2">
    <w:name w:val="Grid Table 6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4">
    <w:name w:val="List Table 2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5">
    <w:name w:val="List Table 2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6">
    <w:name w:val="List Table 2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7">
    <w:name w:val="List Table 2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8">
    <w:name w:val="List Table 2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9">
    <w:name w:val="List Table 2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0">
    <w:name w:val="List Table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2">
    <w:name w:val="List Table 6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3">
    <w:name w:val="List Table 6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4">
    <w:name w:val="List Table 6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5">
    <w:name w:val="List Table 6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6">
    <w:name w:val="List Table 6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7">
    <w:name w:val="List Table 6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8">
    <w:name w:val="List Table 7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6">
    <w:name w:val="Lined - Accent 1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7">
    <w:name w:val="Lined - Accent 2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8">
    <w:name w:val="Lined - Accent 3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9">
    <w:name w:val="Lined - Accent 4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0">
    <w:name w:val="Lined - Accent 5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1">
    <w:name w:val="Lined - Accent 6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2">
    <w:name w:val="Bordered &amp; Lined - Accent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3">
    <w:name w:val="Bordered &amp; Lined - Accent 1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4">
    <w:name w:val="Bordered &amp; Lined - Accent 2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5">
    <w:name w:val="Bordered &amp; Lined - Accent 3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6">
    <w:name w:val="Bordered &amp; Lined - Accent 4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7">
    <w:name w:val="Bordered &amp; Lined - Accent 5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8">
    <w:name w:val="Bordered &amp; Lined - Accent 6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9">
    <w:name w:val="Bordered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0">
    <w:name w:val="Bordered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1">
    <w:name w:val="Bordered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2">
    <w:name w:val="Bordered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3">
    <w:name w:val="Bordered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4">
    <w:name w:val="Bordered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5">
    <w:name w:val="Bordered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rPr>
      <w:sz w:val="18"/>
    </w:rPr>
    <w:pPr>
      <w:spacing w:lineRule="auto" w:line="240" w:after="40"/>
    </w:p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rPr>
      <w:sz w:val="20"/>
    </w:rPr>
    <w:pPr>
      <w:spacing w:lineRule="auto" w:line="240" w:after="0"/>
    </w:p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qFormat/>
    <w:uiPriority w:val="1"/>
    <w:pPr>
      <w:spacing w:lineRule="auto" w:line="240" w:after="0"/>
    </w:pPr>
  </w:style>
  <w:style w:type="paragraph" w:styleId="828">
    <w:name w:val="List Paragraph"/>
    <w:basedOn w:val="824"/>
    <w:qFormat/>
    <w:uiPriority w:val="34"/>
    <w:pPr>
      <w:contextualSpacing w:val="true"/>
      <w:ind w:left="720"/>
    </w:pPr>
  </w:style>
  <w:style w:type="character" w:styleId="82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creativecommons.org/licenses/by/4.0/deed.de" TargetMode="External"/><Relationship Id="rId11" Type="http://schemas.openxmlformats.org/officeDocument/2006/relationships/hyperlink" Target="https://www.tugraz.at/fileadmin/user_upload/tugrazExternal/02bfe6da-df31-4c20-9e9f-819251ecfd4b/2020_2021/Stk_22/Satzungsteil_Studienrecht_10082021.pdf" TargetMode="External"/><Relationship Id="rId12" Type="http://schemas.openxmlformats.org/officeDocument/2006/relationships/hyperlink" Target="https://telucation.tugraz.at/03-virtuelle-lehre-an-der-technischen-universitaet-graz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#03 Virtuelle Lehre und Online-Prüfungen im Satzungsteil Studienrecht</dc:title>
  <dc:subject/>
  <dc:creator>TU Graz Lehr- und Lerntechnologien</dc:creator>
  <dc:description/>
  <cp:lastModifiedBy>Edelsbrunner, Sarah (sarah.edelsbrunner@tugraz.at)</cp:lastModifiedBy>
  <cp:revision>14</cp:revision>
  <dcterms:modified xsi:type="dcterms:W3CDTF">2021-12-21T12:01:09Z</dcterms:modified>
</cp:coreProperties>
</file>