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0"/>
        <w:contextualSpacing w:val="0"/>
        <w:jc w:val="left"/>
        <w:spacing w:before="200" w:after="198" w:line="276" w:lineRule="auto"/>
        <w:rPr>
          <w:b/>
        </w:rPr>
        <w:suppressLineNumbers w:val="0"/>
      </w:pPr>
      <w:r>
        <w:rPr>
          <w:b/>
        </w:rPr>
      </w:r>
      <w:r>
        <w:rPr>
          <w:b/>
        </w:rPr>
        <w:t xml:space="preserve">Hochschule </w:t>
      </w:r>
      <w:r>
        <w:rPr>
          <w:b/>
        </w:rPr>
        <w:t xml:space="preserve">#10 </w:t>
      </w:r>
      <w:r>
        <w:rPr>
          <w:b/>
        </w:rPr>
        <w:t xml:space="preserve">Barrierefreiheit in der digitalen Lehre: Tipps und Tricks für Lehrende</w:t>
      </w:r>
      <w:r/>
    </w:p>
    <w:tbl>
      <w:tblPr>
        <w:tblStyle w:val="684"/>
        <w:tblW w:w="0" w:type="auto"/>
        <w:tblLook w:val="0480" w:firstRow="0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198" w:line="276" w:lineRule="auto"/>
              <w:rPr>
                <w:b/>
                <w:color w:val="000000"/>
                <w:spacing w:val="0"/>
                <w:sz w:val="24"/>
                <w:highlight w:val="none"/>
              </w:rPr>
              <w:suppressLineNumbers w:val="0"/>
            </w:pPr>
            <w:r>
              <w:rPr>
                <w:b/>
                <w:color w:val="000000" w:themeColor="text1"/>
                <w:spacing w:val="0"/>
                <w:sz w:val="24"/>
              </w:rPr>
              <w:t xml:space="preserve">Autorin</w:t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198" w:line="276" w:lineRule="auto"/>
              <w:suppressLineNumbers w:val="0"/>
            </w:pPr>
            <w:r>
              <w:rPr>
                <w:b w:val="0"/>
                <w:spacing w:val="0"/>
                <w:sz w:val="24"/>
              </w:rPr>
              <w:t xml:space="preserve">Melanie Graf-Mandl (Servicestelle Barrierefrei Studieren)</w:t>
            </w:r>
            <w:r/>
          </w:p>
        </w:tc>
      </w:tr>
      <w:tr>
        <w:trPr/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198" w:line="276" w:lineRule="auto"/>
              <w:rPr>
                <w:b/>
                <w:color w:val="000000"/>
                <w:spacing w:val="0"/>
                <w:sz w:val="24"/>
              </w:rPr>
              <w:suppressLineNumbers w:val="0"/>
            </w:pPr>
            <w:r>
              <w:rPr>
                <w:b/>
                <w:color w:val="000000" w:themeColor="text1"/>
                <w:spacing w:val="0"/>
                <w:sz w:val="24"/>
              </w:rPr>
              <w:t xml:space="preserve">Veröffentlichung</w:t>
            </w:r>
            <w:r>
              <w:rPr>
                <w:b/>
                <w:sz w:val="24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198" w:line="276" w:lineRule="auto"/>
              <w:rPr>
                <w:b w:val="0"/>
                <w:spacing w:val="0"/>
                <w:sz w:val="24"/>
              </w:rPr>
              <w:suppressLineNumbers w:val="0"/>
            </w:pPr>
            <w:r>
              <w:rPr>
                <w:b w:val="0"/>
                <w:spacing w:val="0"/>
                <w:sz w:val="24"/>
              </w:rPr>
              <w:t xml:space="preserve">Mai 2022</w:t>
            </w:r>
            <w:r/>
          </w:p>
        </w:tc>
      </w:tr>
      <w:tr>
        <w:trPr/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198" w:line="276" w:lineRule="auto"/>
              <w:rPr>
                <w:b/>
                <w:color w:val="000000"/>
                <w:spacing w:val="0"/>
                <w:sz w:val="24"/>
              </w:rPr>
              <w:suppressLineNumbers w:val="0"/>
            </w:pPr>
            <w:r>
              <w:rPr>
                <w:b/>
                <w:color w:val="000000" w:themeColor="text1"/>
                <w:spacing w:val="0"/>
                <w:sz w:val="24"/>
              </w:rPr>
              <w:t xml:space="preserve">Lizenz</w:t>
            </w:r>
            <w:r>
              <w:rPr>
                <w:b/>
                <w:sz w:val="24"/>
              </w:rPr>
            </w:r>
            <w:r/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200" w:after="198" w:line="276" w:lineRule="auto"/>
              <w:rPr>
                <w:b w:val="0"/>
                <w:spacing w:val="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b w:val="0"/>
                <w:spacing w:val="0"/>
                <w:sz w:val="24"/>
              </w:rPr>
            </w:r>
            <w:r>
              <w:rPr>
                <w:sz w:val="24"/>
              </w:rPr>
              <w:t xml:space="preserve">Lizenziert unter der </w:t>
            </w:r>
            <w:r>
              <w:rPr>
                <w:sz w:val="24"/>
              </w:rPr>
            </w:r>
            <w:hyperlink r:id="rId9" w:tooltip="CC BY 4.0 International" w:history="1">
              <w:r>
                <w:rPr>
                  <w:rStyle w:val="808"/>
                  <w:sz w:val="24"/>
                </w:rPr>
                <w:t xml:space="preserve">Creative-Commons-Lizenz CC BY 4.0 International</w:t>
              </w:r>
            </w:hyperlink>
            <w:r>
              <w:rPr>
                <w:sz w:val="24"/>
              </w:rPr>
              <w:t xml:space="preserve">.</w:t>
            </w:r>
            <w:r>
              <w:rPr>
                <w:b w:val="0"/>
                <w:spacing w:val="0"/>
                <w:sz w:val="24"/>
              </w:rPr>
            </w:r>
            <w:r/>
          </w:p>
        </w:tc>
      </w:tr>
    </w:tbl>
    <w:p>
      <w:pPr>
        <w:contextualSpacing w:val="0"/>
        <w:ind w:left="0" w:right="0" w:firstLine="0"/>
        <w:jc w:val="left"/>
        <w:spacing w:before="200" w:after="198" w:line="276" w:lineRule="auto"/>
        <w:shd w:val="clear" w:color="ffffff"/>
        <w:rPr>
          <w:rFonts w:ascii="Arial" w:hAnsi="Arial" w:cs="Arial" w:eastAsia="Arial"/>
          <w:b w:val="0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 w:eastAsia="Arial"/>
          <w:b w:val="0"/>
          <w:color w:val="000000"/>
          <w:sz w:val="24"/>
        </w:rPr>
        <w:t xml:space="preserve">Digitale Lehre führt für viele Studierende zu einer Erleichterung des Studienalltages. </w:t>
      </w:r>
      <w:r/>
      <w:r>
        <w:rPr>
          <w:rFonts w:ascii="Arial" w:hAnsi="Arial" w:cs="Arial" w:eastAsia="Arial"/>
          <w:b w:val="0"/>
          <w:color w:val="000000"/>
          <w:sz w:val="24"/>
        </w:rPr>
        <w:t xml:space="preserve">Dabei muss darauf geachtet werden, dass digitale Lehre auch für alle Studierenden </w:t>
      </w:r>
      <w:r/>
      <w:r>
        <w:rPr>
          <w:rFonts w:ascii="Arial" w:hAnsi="Arial" w:cs="Arial" w:eastAsia="Arial"/>
          <w:b w:val="0"/>
          <w:color w:val="000000"/>
          <w:sz w:val="24"/>
        </w:rPr>
        <w:t xml:space="preserve">zugänglich ist. Barrierefreiheit in der digitalen Lehre ist besonders für Studierende </w:t>
      </w:r>
      <w:r/>
      <w:r>
        <w:rPr>
          <w:rFonts w:ascii="Arial" w:hAnsi="Arial" w:cs="Arial" w:eastAsia="Arial"/>
          <w:b w:val="0"/>
          <w:color w:val="000000"/>
          <w:sz w:val="24"/>
        </w:rPr>
        <w:t xml:space="preserve">mit einer Behinderung wichtig, jedoch für alle Studierenden hilfreich.</w:t>
      </w:r>
      <w:r/>
      <w:r>
        <w:rPr>
          <w:rFonts w:ascii="Arial" w:hAnsi="Arial" w:cs="Arial" w:eastAsia="Arial"/>
          <w:b w:val="0"/>
          <w:color w:val="000000"/>
          <w:sz w:val="24"/>
        </w:rPr>
      </w:r>
      <w:r/>
    </w:p>
    <w:p>
      <w:pPr>
        <w:contextualSpacing w:val="0"/>
        <w:ind w:left="0" w:right="0" w:firstLine="0"/>
        <w:jc w:val="left"/>
        <w:spacing w:before="200" w:after="198" w:line="276" w:lineRule="auto"/>
        <w:shd w:val="clear" w:color="ffffff"/>
        <w:rPr>
          <w:rFonts w:ascii="Arial" w:hAnsi="Arial" w:cs="Arial" w:eastAsia="Arial"/>
          <w:b w:val="0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 w:eastAsia="Arial"/>
          <w:b w:val="0"/>
          <w:color w:val="000000"/>
          <w:sz w:val="24"/>
          <w:highlight w:val="none"/>
        </w:rPr>
        <w:t xml:space="preserve">Meistens wird Barrierefreiheit mit Mehrarbeit in Verbindung gebracht. </w:t>
      </w:r>
      <w:r/>
      <w:r>
        <w:rPr>
          <w:rFonts w:ascii="Arial" w:hAnsi="Arial" w:cs="Arial" w:eastAsia="Arial"/>
          <w:b w:val="0"/>
          <w:color w:val="000000"/>
          <w:sz w:val="24"/>
          <w:highlight w:val="none"/>
        </w:rPr>
        <w:t xml:space="preserve">Wenn Sie jedoch im Vorhinein einige organisatorische Aspekte und </w:t>
      </w:r>
      <w:r/>
      <w:r>
        <w:rPr>
          <w:rFonts w:ascii="Arial" w:hAnsi="Arial" w:cs="Arial" w:eastAsia="Arial"/>
          <w:b w:val="0"/>
          <w:color w:val="000000"/>
          <w:sz w:val="24"/>
          <w:highlight w:val="none"/>
        </w:rPr>
        <w:t xml:space="preserve">Regeln in der Planung Ihrer Lehrveranstaltung berücksichtigen, ist </w:t>
      </w:r>
      <w:r/>
      <w:r>
        <w:rPr>
          <w:rFonts w:ascii="Arial" w:hAnsi="Arial" w:cs="Arial" w:eastAsia="Arial"/>
          <w:b w:val="0"/>
          <w:color w:val="000000"/>
          <w:sz w:val="24"/>
          <w:highlight w:val="none"/>
        </w:rPr>
        <w:t xml:space="preserve">der Mehraufwand minimal und schafft Erleichterung für Lehrende und </w:t>
      </w:r>
      <w:r/>
      <w:r>
        <w:rPr>
          <w:rFonts w:ascii="Arial" w:hAnsi="Arial" w:cs="Arial" w:eastAsia="Arial"/>
          <w:b w:val="0"/>
          <w:color w:val="000000"/>
          <w:sz w:val="24"/>
          <w:highlight w:val="none"/>
        </w:rPr>
        <w:t xml:space="preserve">Studierende.</w:t>
      </w:r>
      <w:r/>
      <w:r>
        <w:rPr>
          <w:rFonts w:ascii="Arial" w:hAnsi="Arial" w:cs="Arial" w:eastAsia="Arial"/>
          <w:b w:val="0"/>
          <w:color w:val="000000"/>
          <w:sz w:val="24"/>
          <w:highlight w:val="none"/>
        </w:rPr>
      </w:r>
      <w:r>
        <w:rPr>
          <w:rFonts w:ascii="Arial" w:hAnsi="Arial" w:cs="Arial" w:eastAsia="Arial"/>
          <w:b w:val="0"/>
          <w:color w:val="000000"/>
          <w:sz w:val="24"/>
          <w:highlight w:val="none"/>
        </w:rPr>
      </w:r>
    </w:p>
    <w:p>
      <w:pPr>
        <w:contextualSpacing w:val="0"/>
        <w:ind w:left="0" w:right="0" w:firstLine="0"/>
        <w:jc w:val="left"/>
        <w:spacing w:before="200" w:after="198" w:line="276" w:lineRule="auto"/>
        <w:shd w:val="clear" w:color="ffffff"/>
        <w:rPr>
          <w:rFonts w:ascii="Arial" w:hAnsi="Arial" w:cs="Arial" w:eastAsia="Arial"/>
          <w:b w:val="0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Arial" w:hAnsi="Arial" w:cs="Arial" w:eastAsia="Arial"/>
          <w:b w:val="0"/>
          <w:color w:val="000000"/>
          <w:sz w:val="24"/>
          <w:highlight w:val="none"/>
        </w:rPr>
        <w:t xml:space="preserve">Nachfolgend haben wir einige Möglichkeiten der Unterstützung für Sie auf einen </w:t>
      </w:r>
      <w:r/>
      <w:r>
        <w:rPr>
          <w:rFonts w:ascii="Arial" w:hAnsi="Arial" w:cs="Arial" w:eastAsia="Arial"/>
          <w:b w:val="0"/>
          <w:color w:val="000000"/>
          <w:sz w:val="24"/>
          <w:highlight w:val="none"/>
        </w:rPr>
        <w:t xml:space="preserve">Blick zusammengefasst</w:t>
      </w:r>
      <w:r/>
      <w:r>
        <w:rPr>
          <w:rFonts w:ascii="Arial" w:hAnsi="Arial" w:cs="Arial" w:eastAsia="Arial"/>
          <w:b w:val="0"/>
          <w:color w:val="000000"/>
          <w:sz w:val="24"/>
          <w:highlight w:val="none"/>
        </w:rPr>
        <w:t xml:space="preserve">.</w:t>
      </w:r>
      <w:r>
        <w:rPr>
          <w:rFonts w:ascii="Arial" w:hAnsi="Arial" w:cs="Arial" w:eastAsia="Arial"/>
          <w:b w:val="0"/>
          <w:color w:val="000000"/>
          <w:sz w:val="24"/>
          <w:highlight w:val="none"/>
        </w:rPr>
      </w:r>
    </w:p>
    <w:p>
      <w:pPr>
        <w:pStyle w:val="652"/>
        <w:contextualSpacing w:val="0"/>
        <w:jc w:val="left"/>
        <w:spacing w:before="200" w:after="198" w:line="276" w:lineRule="auto"/>
        <w:rPr>
          <w:rFonts w:ascii="Arial" w:hAnsi="Arial" w:cs="Arial" w:eastAsia="Arial"/>
          <w:b/>
          <w:sz w:val="34"/>
        </w:rPr>
        <w:suppressLineNumbers w:val="0"/>
      </w:pPr>
      <w:r>
        <w:rPr>
          <w:rFonts w:ascii="Arial" w:hAnsi="Arial" w:cs="Arial" w:eastAsia="Arial"/>
          <w:b/>
          <w:color w:val="000000"/>
          <w:sz w:val="34"/>
        </w:rPr>
        <w:t xml:space="preserve">Synchrone Lehrveranstaltungseinheiten</w:t>
      </w:r>
      <w:r/>
    </w:p>
    <w:p>
      <w:r>
        <w:t xml:space="preserve">Synchrone Online-Lehrveranstaltungen können für Studierende aus verschiedenen </w:t>
      </w:r>
      <w:r/>
      <w:r>
        <w:t xml:space="preserve">Gründen problematisch sein, nicht nur aufgrund einer Beeinträchtigung. Gründe dafür </w:t>
      </w:r>
      <w:r/>
      <w:r>
        <w:t xml:space="preserve">können schlechte Internetverbindungen, Tonprobleme oder mangelnde technische </w:t>
      </w:r>
      <w:r>
        <w:t xml:space="preserve">Ausstattung der Studierenden wie beispielsweise Teilnahme nur mit Handy (kleines Display) sein. </w:t>
      </w:r>
      <w:r>
        <w:t xml:space="preserve">Besonders problematisch sind synchrone Online-Lehrveranstaltungen für Studierende </w:t>
      </w:r>
      <w:r/>
      <w:r>
        <w:t xml:space="preserve">mit Gehörlosigkeit oder Hörbehinderung, da aufgrund schlechter Internetverbindungen </w:t>
      </w:r>
      <w:r/>
      <w:r>
        <w:t xml:space="preserve">oder Tonprobleme Inhalte nicht vollständig erfasst werden können. Ebenso </w:t>
      </w:r>
      <w:r/>
      <w:r>
        <w:t xml:space="preserve">herausfordernd sind diese Lehrveranstaltungen für Studierende mit Blindheit oder </w:t>
      </w:r>
      <w:r/>
      <w:r>
        <w:t xml:space="preserve">Sehbehinderung, da Bildschirminhalte nicht gesehen und vom Screenreader häufig </w:t>
      </w:r>
      <w:r/>
      <w:r>
        <w:t xml:space="preserve">nicht identifiziert werden.</w:t>
      </w:r>
      <w:r/>
      <w:r/>
      <w:r/>
    </w:p>
    <w:p>
      <w:pPr>
        <w:pStyle w:val="654"/>
      </w:pPr>
      <w:r>
        <w:t xml:space="preserve">Tipps für die Barrierefreiheit synchroner Lehrveranstaltungen</w:t>
      </w:r>
      <w:r/>
    </w:p>
    <w:p>
      <w:pPr>
        <w:pStyle w:val="830"/>
        <w:numPr>
          <w:ilvl w:val="0"/>
          <w:numId w:val="9"/>
        </w:numPr>
      </w:pPr>
      <w:r>
        <w:t xml:space="preserve">Diskussionsfragen und Lehrmaterialien sollten schon im Vorfeld zur Verfügung </w:t>
      </w:r>
      <w:r/>
      <w:r>
        <w:t xml:space="preserve">gestellt werden. Studierende haben dadurch die Möglichkeit sich auf die </w:t>
      </w:r>
      <w:r/>
      <w:r>
        <w:t xml:space="preserve">Lehrveranstaltung vorzubereiten, wodurch sie trotz Behinderung oder technischer </w:t>
      </w:r>
      <w:r/>
      <w:r>
        <w:t xml:space="preserve">Einschränkungen den Inhalten besser folgen können.</w:t>
      </w:r>
      <w:r/>
    </w:p>
    <w:p>
      <w:pPr>
        <w:pStyle w:val="830"/>
        <w:numPr>
          <w:ilvl w:val="0"/>
          <w:numId w:val="9"/>
        </w:numPr>
      </w:pPr>
      <w:r>
        <w:t xml:space="preserve">Achten Sie auf angemessene Ton- und Bildqualität.</w:t>
      </w:r>
      <w:r/>
    </w:p>
    <w:p>
      <w:pPr>
        <w:pStyle w:val="830"/>
        <w:numPr>
          <w:ilvl w:val="0"/>
          <w:numId w:val="9"/>
        </w:numPr>
      </w:pPr>
      <w:r>
        <w:t xml:space="preserve">Wichtige Abbildungen in Präsentationen, die auf dem Bildschirm sichtbar sind, </w:t>
      </w:r>
      <w:r>
        <w:t xml:space="preserve">müssen mündlich beschrieben werden. Dies ist vor allem für Studierende mit </w:t>
      </w:r>
      <w:r/>
      <w:r>
        <w:t xml:space="preserve">Sehbehinderung oder Blindheit relevant, aber auch für jene Studierenden, die </w:t>
      </w:r>
      <w:r/>
      <w:r>
        <w:t xml:space="preserve">über kein oder nur ein kleines Display verfügen.</w:t>
      </w:r>
      <w:r/>
    </w:p>
    <w:p>
      <w:pPr>
        <w:pStyle w:val="830"/>
        <w:numPr>
          <w:ilvl w:val="0"/>
          <w:numId w:val="9"/>
        </w:numPr>
      </w:pPr>
      <w:r/>
      <w:r>
        <w:rPr>
          <w:highlight w:val="none"/>
        </w:rPr>
        <w:t xml:space="preserve">Alle Anforderungen und Arbeitsanweisungen der Lehrveranstaltung sollten klar</w:t>
      </w:r>
      <w:r/>
    </w:p>
    <w:p>
      <w:pPr>
        <w:pStyle w:val="830"/>
        <w:rPr>
          <w:highlight w:val="none"/>
        </w:rPr>
      </w:pPr>
      <w:r>
        <w:rPr>
          <w:highlight w:val="none"/>
        </w:rPr>
        <w:t xml:space="preserve">formuliert und verschriftlicht werden. Beispiele für die Formulierung von guten</w:t>
      </w:r>
      <w:r/>
    </w:p>
    <w:p>
      <w:pPr>
        <w:pStyle w:val="830"/>
        <w:rPr>
          <w:highlight w:val="none"/>
        </w:rPr>
      </w:pPr>
      <w:r>
        <w:rPr>
          <w:highlight w:val="none"/>
        </w:rPr>
        <w:t xml:space="preserve">Arbeitsanweisungen finden Sie auf folgenden Seiten:</w:t>
      </w:r>
      <w:r/>
    </w:p>
    <w:p>
      <w:pPr>
        <w:pStyle w:val="830"/>
        <w:numPr>
          <w:ilvl w:val="0"/>
          <w:numId w:val="10"/>
        </w:numPr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Alle Lehrveranstaltungen sollten zusätzlich aufgezeichnet werden und bis zur</w:t>
      </w:r>
      <w:r/>
    </w:p>
    <w:p>
      <w:pPr>
        <w:pStyle w:val="830"/>
        <w:rPr>
          <w:highlight w:val="none"/>
        </w:rPr>
      </w:pPr>
      <w:r>
        <w:rPr>
          <w:highlight w:val="none"/>
        </w:rPr>
        <w:t xml:space="preserve">Prüfung verfügbar sein.</w:t>
      </w:r>
      <w:r/>
    </w:p>
    <w:p>
      <w:pPr>
        <w:pStyle w:val="830"/>
        <w:numPr>
          <w:ilvl w:val="0"/>
          <w:numId w:val="11"/>
        </w:numPr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Ergänzend sollte eine schriftliche Ausarbeitung (Tafelbilder, Skizzen, Vorlesungsnotizen) den Studierenden zur Nachbereitung zur Verfügung gestellt werden. Dafür </w:t>
      </w:r>
      <w:r/>
      <w:r>
        <w:rPr>
          <w:highlight w:val="none"/>
        </w:rPr>
        <w:t xml:space="preserve">könnten Studierende beauftragt werden, Protokolle oder Mitschriften anzufertigen. </w:t>
      </w:r>
      <w:r/>
      <w:r>
        <w:rPr>
          <w:highlight w:val="none"/>
        </w:rPr>
        <w:t xml:space="preserve">Dies wäre eine Erleichterung für Studierende, die Probleme beim Mitschreiben </w:t>
      </w:r>
      <w:r/>
      <w:r>
        <w:rPr>
          <w:highlight w:val="none"/>
        </w:rPr>
        <w:t xml:space="preserve">haben (bspw. Studierende mit Seh- oder Hörbehinderung, Gehörlosigkeit, Blindheit, </w:t>
      </w:r>
      <w:r/>
      <w:r>
        <w:rPr>
          <w:highlight w:val="none"/>
        </w:rPr>
        <w:t xml:space="preserve">körperlichen Beeinträchtigungen oder Lese-Rechtschreibstörung) und ist hilfreich für </w:t>
      </w:r>
      <w:r/>
      <w:r>
        <w:rPr>
          <w:highlight w:val="none"/>
        </w:rPr>
        <w:t xml:space="preserve">alle Studierenden.</w:t>
      </w:r>
      <w:r/>
    </w:p>
    <w:p>
      <w:pPr>
        <w:pStyle w:val="830"/>
        <w:numPr>
          <w:ilvl w:val="0"/>
          <w:numId w:val="11"/>
        </w:numPr>
        <w:rPr>
          <w:highlight w:val="none"/>
        </w:rPr>
      </w:pPr>
      <w:r>
        <w:rPr>
          <w:highlight w:val="none"/>
        </w:rPr>
        <w:t xml:space="preserve">Schriftliche Unterlagen sollten möglichst barrierearm </w:t>
      </w:r>
      <w:r/>
      <w:r>
        <w:rPr>
          <w:highlight w:val="none"/>
        </w:rPr>
        <w:t xml:space="preserve">aufbereitet werden. Einen ausführlichen Leitfaden zur </w:t>
      </w:r>
      <w:r/>
      <w:r>
        <w:rPr>
          <w:highlight w:val="none"/>
        </w:rPr>
        <w:t xml:space="preserve">barrierearmen Dokumentenerstellung finden Sie unter TU4U</w:t>
      </w:r>
      <w:r/>
      <w:r>
        <w:rPr>
          <w:highlight w:val="none"/>
        </w:rPr>
        <w:t xml:space="preserve">.</w:t>
      </w:r>
      <w:r>
        <w:rPr>
          <w:highlight w:val="none"/>
        </w:rPr>
      </w:r>
    </w:p>
    <w:p>
      <w:pPr>
        <w:pStyle w:val="654"/>
      </w:pPr>
      <w:r>
        <w:rPr>
          <w:highlight w:val="none"/>
        </w:rPr>
        <w:t xml:space="preserve">Tipps zur Interaktion mit Studierenden</w:t>
      </w:r>
      <w:r/>
    </w:p>
    <w:p>
      <w:pPr>
        <w:pStyle w:val="830"/>
        <w:numPr>
          <w:ilvl w:val="0"/>
          <w:numId w:val="12"/>
        </w:numPr>
      </w:pPr>
      <w:r>
        <w:t xml:space="preserve">Livechats stellen für Studierende mit Blindheit oder Sehbeeinträchtigung, die </w:t>
      </w:r>
      <w:r/>
      <w:r>
        <w:t xml:space="preserve">Screenreader nutzen, oder für Studierende mit Asperger-Autismus, ADHS sowie </w:t>
      </w:r>
      <w:r/>
      <w:r>
        <w:t xml:space="preserve">Lese-Rechtschreibstörung aufgrund der schnellen und teilweise unübersichtlichen </w:t>
      </w:r>
      <w:r/>
      <w:r>
        <w:t xml:space="preserve">Kommunikation eine Barriere dar, sind jedoch auch für Studierende, denen nur </w:t>
      </w:r>
      <w:r/>
      <w:r>
        <w:t xml:space="preserve">Geräte mit kleinen Displays zur Verfügung stehen, herausfordernd. Ist ein Livechat </w:t>
      </w:r>
      <w:r/>
      <w:r>
        <w:t xml:space="preserve">Ihrer Meinung nach trotzdem sinnvoll, dann stellen Sie zusätzlich den Chatverlauf </w:t>
      </w:r>
      <w:r/>
      <w:r>
        <w:t xml:space="preserve">als Protokoll zur Verfügung. Zur Interaktion mit den Studierenden kann im Sinne der </w:t>
      </w:r>
      <w:r/>
      <w:r>
        <w:t xml:space="preserve">Barrierefreiheit auch das Forum zur asynchronen Kommunikation genutzt werden.</w:t>
      </w:r>
      <w:r/>
    </w:p>
    <w:p>
      <w:pPr>
        <w:pStyle w:val="830"/>
        <w:numPr>
          <w:ilvl w:val="0"/>
          <w:numId w:val="12"/>
        </w:numPr>
      </w:pPr>
      <w:r/>
      <w:r>
        <w:t xml:space="preserve">Zusatzinformationen wie beispielsweise Links oder weiterführende Literatur können </w:t>
      </w:r>
      <w:r/>
      <w:r>
        <w:t xml:space="preserve">zusätzlich zum Chat oder statt im Chat auch in einem begleitenden Dokument, das </w:t>
      </w:r>
      <w:r/>
      <w:r>
        <w:t xml:space="preserve">im TeachCenter hochgeladen wird, zur Verfügung gestellt werden.</w:t>
      </w:r>
      <w:r/>
      <w:r/>
      <w:r/>
    </w:p>
    <w:p>
      <w:pPr>
        <w:pStyle w:val="652"/>
        <w:rPr>
          <w:b/>
        </w:rPr>
      </w:pPr>
      <w:r>
        <w:rPr>
          <w:b/>
          <w:highlight w:val="none"/>
        </w:rPr>
        <w:t xml:space="preserve">Asynchrone Lehrveranstaltungseinheiten</w:t>
      </w:r>
      <w:r/>
    </w:p>
    <w:p>
      <w:r>
        <w:t xml:space="preserve">Oftmals können Lernziele genauso gut im asynchronen Format erreicht </w:t>
      </w:r>
      <w:r/>
      <w:r>
        <w:t xml:space="preserve">werden. Überlegen Sie sich vor Semesterbeginn, zu welchen synchronen </w:t>
      </w:r>
      <w:r/>
      <w:r>
        <w:t xml:space="preserve">Lehrveranstaltungseinheiten Sie zusätzlich asynchrone Aufgaben </w:t>
      </w:r>
      <w:r/>
      <w:r>
        <w:t xml:space="preserve">und Inhalte zur Verfügung stellen könnten, um Studierende mit einer </w:t>
      </w:r>
      <w:r/>
      <w:r>
        <w:t xml:space="preserve">Beeinträchtigung zu unterstützen. Möchten Sie eine synchrone Einheit </w:t>
      </w:r>
      <w:r/>
      <w:r>
        <w:t xml:space="preserve">durch asynchrone Lehre ersetzen, ist dies jedoch laut dem Satzungsteil </w:t>
      </w:r>
      <w:r/>
      <w:r>
        <w:t xml:space="preserve">Studienrecht (Stand Oktober 2021) genehmigungspflichtig.</w:t>
      </w:r>
      <w:r/>
    </w:p>
    <w:p>
      <w:r>
        <w:t xml:space="preserve">Weitere Informationen </w:t>
      </w:r>
      <w:r/>
      <w:r>
        <w:t xml:space="preserve">finden Sie in der Rubrik </w:t>
      </w:r>
      <w:r/>
      <w:r>
        <w:t xml:space="preserve">Hochschule im Beitrag: </w:t>
      </w:r>
      <w:r/>
      <w:r>
        <w:t xml:space="preserve">#03 Ergänzung - Virtuelle </w:t>
      </w:r>
      <w:r/>
      <w:r>
        <w:t xml:space="preserve">Lehre und Online-Prüfungen </w:t>
      </w:r>
      <w:r/>
      <w:r>
        <w:t xml:space="preserve">im Satzungsteil.</w:t>
      </w:r>
      <w:r/>
      <w:r/>
      <w:r/>
    </w:p>
    <w:p>
      <w:pPr>
        <w:pStyle w:val="654"/>
      </w:pPr>
      <w:r>
        <w:t xml:space="preserve">Tipps zu Videos und aufgezeichneten Lehrveranstaltungen</w:t>
      </w:r>
      <w:r/>
    </w:p>
    <w:p>
      <w:pPr>
        <w:rPr>
          <w:highlight w:val="none"/>
        </w:rPr>
      </w:pPr>
      <w:r>
        <w:rPr>
          <w:highlight w:val="none"/>
        </w:rPr>
        <w:t xml:space="preserve">Eine gute Alternative zu synchronen Lehrveranstaltungen oder als deren Ergänzung </w:t>
      </w:r>
      <w:r/>
      <w:r>
        <w:rPr>
          <w:highlight w:val="none"/>
        </w:rPr>
        <w:t xml:space="preserve">sind Aufzeichnungen von Lehrveranstaltungen, welche den Studierenden zur Verfügung </w:t>
      </w:r>
      <w:r/>
      <w:r>
        <w:rPr>
          <w:highlight w:val="none"/>
        </w:rPr>
        <w:t xml:space="preserve">gestellt werden.</w:t>
      </w:r>
      <w:r/>
      <w:r>
        <w:rPr>
          <w:highlight w:val="none"/>
        </w:rPr>
      </w:r>
      <w:r/>
    </w:p>
    <w:p>
      <w:pPr>
        <w:pStyle w:val="830"/>
        <w:numPr>
          <w:ilvl w:val="0"/>
          <w:numId w:val="13"/>
        </w:numPr>
        <w:rPr>
          <w:highlight w:val="none"/>
        </w:rPr>
      </w:pPr>
      <w:r>
        <w:rPr>
          <w:highlight w:val="none"/>
        </w:rPr>
        <w:t xml:space="preserve">Aufgezeichnete Lehrveranstaltungen sollten mit Untertiteln versehen oder durch </w:t>
      </w:r>
      <w:r/>
      <w:r>
        <w:rPr>
          <w:highlight w:val="none"/>
        </w:rPr>
        <w:t xml:space="preserve">Transkripte ergänzt werden (betrifft primär Studierende mit Hörbeeinträchtigung, </w:t>
      </w:r>
      <w:r/>
      <w:r>
        <w:rPr>
          <w:highlight w:val="none"/>
        </w:rPr>
        <w:t xml:space="preserve">aber auch International Students).</w:t>
      </w:r>
      <w:r/>
    </w:p>
    <w:p>
      <w:pPr>
        <w:pStyle w:val="830"/>
        <w:numPr>
          <w:ilvl w:val="0"/>
          <w:numId w:val="13"/>
        </w:numPr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Zudem muss darauf geachtet werden, dass sich die Untertitel optisch von </w:t>
      </w:r>
      <w:r/>
      <w:r>
        <w:rPr>
          <w:highlight w:val="none"/>
        </w:rPr>
        <w:t xml:space="preserve">Bildinhalten abheben und bestenfalls optional einblendbar sind (relevant für </w:t>
      </w:r>
      <w:r/>
      <w:r>
        <w:rPr>
          <w:highlight w:val="none"/>
        </w:rPr>
        <w:t xml:space="preserve">Studierende mit Asperger-Autismus).</w:t>
      </w:r>
      <w:r/>
    </w:p>
    <w:p>
      <w:pPr>
        <w:pStyle w:val="830"/>
        <w:numPr>
          <w:ilvl w:val="0"/>
          <w:numId w:val="13"/>
        </w:numPr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Bei ausschließlich visueller Vermittlung von Informationen über das Video ist es </w:t>
      </w:r>
      <w:r/>
      <w:r>
        <w:rPr>
          <w:highlight w:val="none"/>
        </w:rPr>
        <w:t xml:space="preserve">wichtig, dass Audiodeskriptionen oder Transkripte zur Verfügung gestellt werden </w:t>
      </w:r>
      <w:r/>
      <w:r>
        <w:rPr>
          <w:highlight w:val="none"/>
        </w:rPr>
        <w:t xml:space="preserve">(betrifft primär Studierende mit Sehbehinderung oder Blindheit).</w:t>
      </w:r>
      <w:r/>
    </w:p>
    <w:p>
      <w:pPr>
        <w:pStyle w:val="830"/>
        <w:numPr>
          <w:ilvl w:val="0"/>
          <w:numId w:val="13"/>
        </w:numPr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Wie bereits bei Live-Lehrveranstaltungen ist es auch bei aufgezeichneten </w:t>
      </w:r>
      <w:r/>
      <w:r>
        <w:rPr>
          <w:highlight w:val="none"/>
        </w:rPr>
        <w:t xml:space="preserve">Lehrveranstaltungen wichtig, relevante Abbildungen mündlich zu beschreiben </w:t>
      </w:r>
      <w:r/>
      <w:r>
        <w:rPr>
          <w:highlight w:val="none"/>
        </w:rPr>
        <w:t xml:space="preserve">und Lehrmaterialien im Vorfeld bereit zu stellen</w:t>
      </w:r>
      <w:r/>
      <w:r>
        <w:rPr>
          <w:highlight w:val="none"/>
        </w:rPr>
      </w:r>
      <w:r>
        <w:rPr>
          <w:highlight w:val="none"/>
        </w:rPr>
      </w:r>
    </w:p>
    <w:p>
      <w:pPr>
        <w:pStyle w:val="652"/>
        <w:rPr>
          <w:b/>
        </w:rPr>
      </w:pPr>
      <w:r>
        <w:rPr>
          <w:b/>
          <w:highlight w:val="none"/>
        </w:rPr>
        <w:t xml:space="preserve">Tipps zu Online-Prüfungen</w:t>
      </w:r>
      <w:r/>
    </w:p>
    <w:p>
      <w:r>
        <w:t xml:space="preserve">Abhängig vom Grad der Behinderung oder </w:t>
      </w:r>
      <w:r/>
      <w:r>
        <w:t xml:space="preserve">von der Erkrankung gibt es unterschiedliche </w:t>
      </w:r>
      <w:r/>
      <w:r>
        <w:t xml:space="preserve">Optionen, um Online-Prüfungen barrierearm zu </w:t>
      </w:r>
      <w:r/>
      <w:r>
        <w:t xml:space="preserve">gestalten: Es kann erforderlich sein, einzelnen </w:t>
      </w:r>
      <w:r/>
      <w:r>
        <w:t xml:space="preserve">Studierenden mehr Zeit für die Prüfung zu </w:t>
      </w:r>
      <w:r/>
      <w:r>
        <w:t xml:space="preserve">gewähren, was bei TeachCenter-Prüfungen unter </w:t>
      </w:r>
      <w:r/>
      <w:r>
        <w:t xml:space="preserve">„Nutzeränderungen“ einstellbar ist. In anderen </w:t>
      </w:r>
      <w:r/>
      <w:r>
        <w:t xml:space="preserve">Fällen kann es notwendig sein, eine mündliche </w:t>
      </w:r>
      <w:r/>
      <w:r>
        <w:t xml:space="preserve">Prüfung in eine schriftliche umzuwandeln oder </w:t>
      </w:r>
      <w:r/>
      <w:r>
        <w:t xml:space="preserve">umgekehrt. Manche Fragetypen wie zum Beispiel </w:t>
      </w:r>
      <w:r/>
      <w:r>
        <w:t xml:space="preserve">Bildzuordnungen oder Markierungen auf einem </w:t>
      </w:r>
      <w:r/>
      <w:r>
        <w:t xml:space="preserve">Bild sind für Studierende mit Blindheit oder </w:t>
      </w:r>
      <w:r/>
      <w:r>
        <w:t xml:space="preserve">Sehbehinderung nicht gut geeignet. Rechtliche </w:t>
      </w:r>
      <w:r/>
      <w:r>
        <w:t xml:space="preserve">Rahmenbedingungen zur Prüfungsadaptierung </w:t>
      </w:r>
      <w:r/>
      <w:r>
        <w:t xml:space="preserve">sind im UG 2002 §59, Abs. 1 (12) festgelegt.</w:t>
      </w:r>
      <w:r/>
      <w:r/>
      <w:r/>
    </w:p>
    <w:p>
      <w:pPr>
        <w:pStyle w:val="652"/>
        <w:rPr>
          <w:b/>
        </w:rPr>
      </w:pPr>
      <w:r>
        <w:rPr>
          <w:b/>
          <w:highlight w:val="none"/>
        </w:rPr>
        <w:t xml:space="preserve">Kontakt</w:t>
      </w:r>
      <w:r/>
    </w:p>
    <w:p>
      <w:r>
        <w:t xml:space="preserve">Bei weiteren Fragen, wie Sie Ihre Lehre barrierarm gestalten können, </w:t>
      </w:r>
      <w:r/>
      <w:r>
        <w:t xml:space="preserve">wenden Sie sich jederzeit an die Servicestelle Barrierefrei Studieren: </w:t>
      </w:r>
      <w:r/>
      <w:r>
        <w:t xml:space="preserve">barrierefrei-studieren@tugraz.at. Weisen Sie auch Ihre Studierenden </w:t>
      </w:r>
      <w:r/>
      <w:r>
        <w:t xml:space="preserve">auf die Möglichkeit einer Beratung hin!</w:t>
      </w:r>
      <w:r/>
      <w:r/>
      <w:r/>
    </w:p>
    <w:p>
      <w:r>
        <w:rPr>
          <w:b/>
          <w:sz w:val="34"/>
          <w:highlight w:val="none"/>
        </w:rPr>
        <w:t xml:space="preserve">Sticker zum Beitrag</w:t>
      </w:r>
      <w:r>
        <w:rPr>
          <w:b/>
          <w:sz w:val="34"/>
          <w:highlight w:val="none"/>
        </w:rPr>
      </w:r>
      <w:r/>
    </w:p>
    <w:p>
      <w:pPr>
        <w:contextualSpacing w:val="0"/>
        <w:jc w:val="left"/>
        <w:spacing w:before="200" w:after="198" w:line="276" w:lineRule="auto"/>
        <w:rPr>
          <w:sz w:val="24"/>
          <w:highlight w:val="none"/>
        </w:rPr>
        <w:suppressLineNumbers w:val="0"/>
      </w:pPr>
      <w:r>
        <w:rPr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007065" cy="3007065"/>
                <wp:effectExtent l="0" t="0" r="0" b="0"/>
                <wp:docPr id="1" name="" hidden="0" title="Illustration eines Computers, umgeben von Symbolen für verschiedene Behinderungen wie ein Rollstuhl, ein durchgestrichenes Auge, ein durchgestrichenes O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0729811" name="" hidden="0" title="Illustration eines Computers, umgeben von Symbolen für verschiedene Behinderungen wie ein Rollstuhl, ein durchgestrichenes Auge, ein durchgestrichenes Ohr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3007065" cy="3007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236.8pt;height:236.8pt;rotation:0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4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1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291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011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731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451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171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4891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611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331" w:hanging="360"/>
      </w:pPr>
      <w:rPr>
        <w:rFonts w:ascii="Symbol" w:hAnsi="Symbol" w:cs="Symbol" w:eastAsia="Symbol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1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291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011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731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451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171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4891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611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331" w:hanging="360"/>
      </w:pPr>
      <w:rPr>
        <w:rFonts w:ascii="Symbol" w:hAnsi="Symbol" w:cs="Symbol" w:eastAsia="Symbol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1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291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011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731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451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171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4891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611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331" w:hanging="360"/>
      </w:pPr>
      <w:rPr>
        <w:rFonts w:ascii="Symbol" w:hAnsi="Symbol" w:cs="Symbol" w:eastAsia="Symbol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1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291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011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731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451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171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4891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611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331" w:hanging="360"/>
      </w:pPr>
      <w:rPr>
        <w:rFonts w:ascii="Symbol" w:hAnsi="Symbol" w:cs="Symbol" w:eastAsia="Symbol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1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291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011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731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451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171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4891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611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331" w:hanging="360"/>
      </w:pPr>
      <w:rPr>
        <w:rFonts w:ascii="Symbol" w:hAnsi="Symbol" w:cs="Symbol" w:eastAsia="Symbol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1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1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1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1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1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1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1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1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1" w:hanging="360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1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8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8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8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8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8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8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ascii="Wingdings" w:hAnsi="Wingdings" w:cs="Wingdings" w:eastAsia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de-DE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0">
    <w:name w:val="Heading 1"/>
    <w:basedOn w:val="826"/>
    <w:next w:val="826"/>
    <w:link w:val="651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51">
    <w:name w:val="Heading 1 Char"/>
    <w:link w:val="650"/>
    <w:uiPriority w:val="9"/>
    <w:rPr>
      <w:rFonts w:ascii="Arial" w:hAnsi="Arial" w:cs="Arial" w:eastAsia="Arial"/>
      <w:sz w:val="40"/>
      <w:szCs w:val="40"/>
    </w:rPr>
  </w:style>
  <w:style w:type="paragraph" w:styleId="652">
    <w:name w:val="Heading 2"/>
    <w:basedOn w:val="826"/>
    <w:next w:val="826"/>
    <w:link w:val="6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53">
    <w:name w:val="Heading 2 Char"/>
    <w:link w:val="652"/>
    <w:uiPriority w:val="9"/>
    <w:rPr>
      <w:rFonts w:ascii="Arial" w:hAnsi="Arial" w:cs="Arial" w:eastAsia="Arial"/>
      <w:sz w:val="34"/>
    </w:rPr>
  </w:style>
  <w:style w:type="paragraph" w:styleId="654">
    <w:name w:val="Heading 3"/>
    <w:basedOn w:val="826"/>
    <w:next w:val="826"/>
    <w:link w:val="6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55">
    <w:name w:val="Heading 3 Char"/>
    <w:link w:val="654"/>
    <w:uiPriority w:val="9"/>
    <w:rPr>
      <w:rFonts w:ascii="Arial" w:hAnsi="Arial" w:cs="Arial" w:eastAsia="Arial"/>
      <w:sz w:val="30"/>
      <w:szCs w:val="30"/>
    </w:rPr>
  </w:style>
  <w:style w:type="paragraph" w:styleId="656">
    <w:name w:val="Heading 4"/>
    <w:basedOn w:val="826"/>
    <w:next w:val="826"/>
    <w:link w:val="6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57">
    <w:name w:val="Heading 4 Char"/>
    <w:link w:val="656"/>
    <w:uiPriority w:val="9"/>
    <w:rPr>
      <w:rFonts w:ascii="Arial" w:hAnsi="Arial" w:cs="Arial" w:eastAsia="Arial"/>
      <w:b/>
      <w:bCs/>
      <w:sz w:val="26"/>
      <w:szCs w:val="26"/>
    </w:rPr>
  </w:style>
  <w:style w:type="paragraph" w:styleId="658">
    <w:name w:val="Heading 5"/>
    <w:basedOn w:val="826"/>
    <w:next w:val="826"/>
    <w:link w:val="6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59">
    <w:name w:val="Heading 5 Char"/>
    <w:link w:val="658"/>
    <w:uiPriority w:val="9"/>
    <w:rPr>
      <w:rFonts w:ascii="Arial" w:hAnsi="Arial" w:cs="Arial" w:eastAsia="Arial"/>
      <w:b/>
      <w:bCs/>
      <w:sz w:val="24"/>
      <w:szCs w:val="24"/>
    </w:rPr>
  </w:style>
  <w:style w:type="paragraph" w:styleId="660">
    <w:name w:val="Heading 6"/>
    <w:basedOn w:val="826"/>
    <w:next w:val="826"/>
    <w:link w:val="6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61">
    <w:name w:val="Heading 6 Char"/>
    <w:link w:val="660"/>
    <w:uiPriority w:val="9"/>
    <w:rPr>
      <w:rFonts w:ascii="Arial" w:hAnsi="Arial" w:cs="Arial" w:eastAsia="Arial"/>
      <w:b/>
      <w:bCs/>
      <w:sz w:val="22"/>
      <w:szCs w:val="22"/>
    </w:rPr>
  </w:style>
  <w:style w:type="paragraph" w:styleId="662">
    <w:name w:val="Heading 7"/>
    <w:basedOn w:val="826"/>
    <w:next w:val="826"/>
    <w:link w:val="6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63">
    <w:name w:val="Heading 7 Char"/>
    <w:link w:val="66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64">
    <w:name w:val="Heading 8"/>
    <w:basedOn w:val="826"/>
    <w:next w:val="826"/>
    <w:link w:val="6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65">
    <w:name w:val="Heading 8 Char"/>
    <w:link w:val="664"/>
    <w:uiPriority w:val="9"/>
    <w:rPr>
      <w:rFonts w:ascii="Arial" w:hAnsi="Arial" w:cs="Arial" w:eastAsia="Arial"/>
      <w:i/>
      <w:iCs/>
      <w:sz w:val="22"/>
      <w:szCs w:val="22"/>
    </w:rPr>
  </w:style>
  <w:style w:type="paragraph" w:styleId="666">
    <w:name w:val="Heading 9"/>
    <w:basedOn w:val="826"/>
    <w:next w:val="826"/>
    <w:link w:val="6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67">
    <w:name w:val="Heading 9 Char"/>
    <w:link w:val="666"/>
    <w:uiPriority w:val="9"/>
    <w:rPr>
      <w:rFonts w:ascii="Arial" w:hAnsi="Arial" w:cs="Arial" w:eastAsia="Arial"/>
      <w:i/>
      <w:iCs/>
      <w:sz w:val="21"/>
      <w:szCs w:val="21"/>
    </w:rPr>
  </w:style>
  <w:style w:type="paragraph" w:styleId="668">
    <w:name w:val="Title"/>
    <w:basedOn w:val="826"/>
    <w:next w:val="826"/>
    <w:link w:val="6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9">
    <w:name w:val="Title Char"/>
    <w:link w:val="668"/>
    <w:uiPriority w:val="10"/>
    <w:rPr>
      <w:sz w:val="48"/>
      <w:szCs w:val="48"/>
    </w:rPr>
  </w:style>
  <w:style w:type="paragraph" w:styleId="670">
    <w:name w:val="Subtitle"/>
    <w:basedOn w:val="826"/>
    <w:next w:val="826"/>
    <w:link w:val="671"/>
    <w:uiPriority w:val="11"/>
    <w:qFormat/>
    <w:pPr>
      <w:spacing w:before="200" w:after="200"/>
    </w:pPr>
    <w:rPr>
      <w:sz w:val="24"/>
      <w:szCs w:val="24"/>
    </w:rPr>
  </w:style>
  <w:style w:type="character" w:styleId="671">
    <w:name w:val="Subtitle Char"/>
    <w:link w:val="670"/>
    <w:uiPriority w:val="11"/>
    <w:rPr>
      <w:sz w:val="24"/>
      <w:szCs w:val="24"/>
    </w:rPr>
  </w:style>
  <w:style w:type="paragraph" w:styleId="672">
    <w:name w:val="Quote"/>
    <w:basedOn w:val="826"/>
    <w:next w:val="826"/>
    <w:link w:val="673"/>
    <w:uiPriority w:val="29"/>
    <w:qFormat/>
    <w:pPr>
      <w:ind w:left="720" w:right="720"/>
    </w:pPr>
    <w:rPr>
      <w:i/>
    </w:rPr>
  </w:style>
  <w:style w:type="character" w:styleId="673">
    <w:name w:val="Quote Char"/>
    <w:link w:val="672"/>
    <w:uiPriority w:val="29"/>
    <w:rPr>
      <w:i/>
    </w:rPr>
  </w:style>
  <w:style w:type="paragraph" w:styleId="674">
    <w:name w:val="Intense Quote"/>
    <w:basedOn w:val="826"/>
    <w:next w:val="826"/>
    <w:link w:val="675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5">
    <w:name w:val="Intense Quote Char"/>
    <w:link w:val="674"/>
    <w:uiPriority w:val="30"/>
    <w:rPr>
      <w:i/>
    </w:rPr>
  </w:style>
  <w:style w:type="paragraph" w:styleId="676">
    <w:name w:val="Header"/>
    <w:basedOn w:val="826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Header Char"/>
    <w:link w:val="676"/>
    <w:uiPriority w:val="99"/>
  </w:style>
  <w:style w:type="paragraph" w:styleId="678">
    <w:name w:val="Footer"/>
    <w:basedOn w:val="826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Footer Char"/>
    <w:link w:val="678"/>
    <w:uiPriority w:val="99"/>
  </w:style>
  <w:style w:type="paragraph" w:styleId="680">
    <w:name w:val="Caption"/>
    <w:basedOn w:val="826"/>
    <w:next w:val="8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1">
    <w:name w:val="Caption Char"/>
    <w:basedOn w:val="680"/>
    <w:link w:val="678"/>
    <w:uiPriority w:val="99"/>
  </w:style>
  <w:style w:type="table" w:styleId="682">
    <w:name w:val="Table Grid"/>
    <w:basedOn w:val="8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Table Grid Light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Plain Table 1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4 - Accent 1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2">
    <w:name w:val="Grid Table 4 - Accent 2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3">
    <w:name w:val="Grid Table 4 - Accent 3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4">
    <w:name w:val="Grid Table 4 - Accent 4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5">
    <w:name w:val="Grid Table 4 - Accent 5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6">
    <w:name w:val="Grid Table 4 - Accent 6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7">
    <w:name w:val="Grid Table 5 Dark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light1" w:sz="4" w:space="0"/>
        </w:tcBorders>
      </w:tcPr>
    </w:tblStylePr>
  </w:style>
  <w:style w:type="table" w:styleId="724">
    <w:name w:val="Grid Table 6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5">
    <w:name w:val="Grid Table 6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6">
    <w:name w:val="Grid Table 6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7">
    <w:name w:val="Grid Table 6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8">
    <w:name w:val="Grid Table 6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9">
    <w:name w:val="Grid Table 6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6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7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6">
    <w:name w:val="List Table 2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7">
    <w:name w:val="List Table 2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8">
    <w:name w:val="List Table 2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9">
    <w:name w:val="List Table 2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0">
    <w:name w:val="List Table 2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1">
    <w:name w:val="List Table 2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2">
    <w:name w:val="List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6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4">
    <w:name w:val="List Table 6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5">
    <w:name w:val="List Table 6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List Table 6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7">
    <w:name w:val="List Table 6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List Table 6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9">
    <w:name w:val="List Table 6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0">
    <w:name w:val="List Table 7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1">
    <w:name w:val="List Table 7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2">
    <w:name w:val="List Table 7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3">
    <w:name w:val="List Table 7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4">
    <w:name w:val="List Table 7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5">
    <w:name w:val="List Table 7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6">
    <w:name w:val="List Table 7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7">
    <w:name w:val="Lined - Accent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88">
    <w:name w:val="Lined - Accent 1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89">
    <w:name w:val="Lined - Accent 2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90">
    <w:name w:val="Lined - Accent 3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91">
    <w:name w:val="Lined - Accent 4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92">
    <w:name w:val="Lined - Accent 5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93">
    <w:name w:val="Lined - Accent 6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94">
    <w:name w:val="Bordered &amp; Lined - Accent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95">
    <w:name w:val="Bordered &amp; Lined - Accent 1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96">
    <w:name w:val="Bordered &amp; Lined - Accent 2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97">
    <w:name w:val="Bordered &amp; Lined - Accent 3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98">
    <w:name w:val="Bordered &amp; Lined - Accent 4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799">
    <w:name w:val="Bordered &amp; Lined - Accent 5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00">
    <w:name w:val="Bordered &amp; Lined - Accent 6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01">
    <w:name w:val="Bordered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2">
    <w:name w:val="Bordered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3">
    <w:name w:val="Bordered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4">
    <w:name w:val="Bordered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5">
    <w:name w:val="Bordered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6">
    <w:name w:val="Bordered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7">
    <w:name w:val="Bordered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8">
    <w:name w:val="Hyperlink"/>
    <w:uiPriority w:val="99"/>
    <w:unhideWhenUsed/>
    <w:rPr>
      <w:color w:val="0000FF" w:themeColor="hyperlink"/>
      <w:u w:val="single"/>
    </w:r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pPr>
      <w:contextualSpacing w:val="0"/>
      <w:ind w:left="0" w:right="0" w:firstLine="0"/>
      <w:jc w:val="left"/>
      <w:spacing w:before="200" w:after="198" w:line="276" w:lineRule="auto"/>
      <w:shd w:val="clear" w:color="ffff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uppressLineNumbers w:val="0"/>
    </w:pPr>
    <w:rPr>
      <w:rFonts w:ascii="Arial" w:hAnsi="Arial" w:cs="Arial" w:eastAsia="Arial"/>
      <w:b w:val="0"/>
      <w:color w:val="000000"/>
      <w:sz w:val="24"/>
    </w:rPr>
  </w:style>
  <w:style w:type="table" w:styleId="8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8" w:default="1">
    <w:name w:val="No List"/>
    <w:uiPriority w:val="99"/>
    <w:semiHidden/>
    <w:unhideWhenUsed/>
  </w:style>
  <w:style w:type="paragraph" w:styleId="829">
    <w:name w:val="No Spacing"/>
    <w:basedOn w:val="826"/>
    <w:uiPriority w:val="1"/>
    <w:qFormat/>
    <w:pPr>
      <w:spacing w:after="0" w:line="240" w:lineRule="auto"/>
    </w:pPr>
  </w:style>
  <w:style w:type="paragraph" w:styleId="830">
    <w:name w:val="List Paragraph"/>
    <w:basedOn w:val="826"/>
    <w:uiPriority w:val="34"/>
    <w:qFormat/>
    <w:pPr>
      <w:contextualSpacing/>
      <w:ind w:left="720"/>
    </w:pPr>
  </w:style>
  <w:style w:type="character" w:styleId="831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creativecommons.org/licenses/by/4.0/deed.de" TargetMode="External"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Hochschule #10 Barrierefreiheit in der Lehre</dc:title>
  <dc:subject/>
  <dc:creator>Melanie Graf-Mandl (Barrierefrei Studieren)</dc:creator>
  <dc:description/>
  <cp:lastModifiedBy>Edelsbrunner, Sarah (sarah.edelsbrunner@tugraz.at)</cp:lastModifiedBy>
  <cp:revision>15</cp:revision>
  <dcterms:modified xsi:type="dcterms:W3CDTF">2022-04-25T13:26:34Z</dcterms:modified>
</cp:coreProperties>
</file>